
<file path=[Content_Types].xml><?xml version="1.0" encoding="utf-8"?>
<Types xmlns="http://schemas.openxmlformats.org/package/2006/content-types">
  <Default Extension="bin" ContentType="application/vnd.ms-word.attachedToolbar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AEA" w:rsidRDefault="006A25F0">
      <w:pPr>
        <w:pStyle w:val="affffff3"/>
        <w:framePr w:wrap="around"/>
      </w:pPr>
      <w:r>
        <w:rPr>
          <w:rFonts w:ascii="Times New Roman"/>
        </w:rPr>
        <w:t>ICS</w:t>
      </w:r>
      <w:r>
        <w:rPr>
          <w:rFonts w:hAnsi="黑体"/>
        </w:rPr>
        <w:t> </w:t>
      </w:r>
      <w:r>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fldChar w:fldCharType="separate"/>
      </w:r>
      <w:r>
        <w:rPr>
          <w:rFonts w:hint="eastAsia"/>
        </w:rPr>
        <w:t>65.080</w:t>
      </w:r>
      <w:r>
        <w:fldChar w:fldCharType="end"/>
      </w:r>
      <w:bookmarkEnd w:id="0"/>
    </w:p>
    <w:p w:rsidR="00E87AEA" w:rsidRDefault="006A25F0">
      <w:pPr>
        <w:pStyle w:val="affffff3"/>
        <w:framePr w:wrap="around"/>
      </w:pPr>
      <w:r>
        <w:fldChar w:fldCharType="begin">
          <w:ffData>
            <w:name w:val="WXFLH"/>
            <w:enabled/>
            <w:calcOnExit w:val="0"/>
            <w:helpText w:type="text" w:val="请输入中国标准文献分类号："/>
            <w:textInput>
              <w:default w:val="点击此处添加中国标准文献分类号"/>
            </w:textInput>
          </w:ffData>
        </w:fldChar>
      </w:r>
      <w:bookmarkStart w:id="1" w:name="WXFLH"/>
      <w:r>
        <w:instrText xml:space="preserve"> FORMTEXT </w:instrText>
      </w:r>
      <w:r>
        <w:fldChar w:fldCharType="separate"/>
      </w:r>
      <w:r>
        <w:rPr>
          <w:rFonts w:hint="eastAsia"/>
        </w:rPr>
        <w:t>G 21</w:t>
      </w:r>
      <w:r>
        <w:fldChar w:fldCharType="end"/>
      </w:r>
      <w:bookmarkEnd w:id="1"/>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E87AEA">
        <w:tc>
          <w:tcPr>
            <w:tcW w:w="9854" w:type="dxa"/>
            <w:tcBorders>
              <w:top w:val="nil"/>
              <w:left w:val="nil"/>
              <w:bottom w:val="nil"/>
              <w:right w:val="nil"/>
            </w:tcBorders>
            <w:shd w:val="clear" w:color="auto" w:fill="auto"/>
          </w:tcPr>
          <w:p w:rsidR="00E87AEA" w:rsidRDefault="006A25F0">
            <w:pPr>
              <w:pStyle w:val="affffff3"/>
              <w:framePr w:wrap="around"/>
            </w:pPr>
            <w:r>
              <w:pict>
                <v:rect id="BAH" o:spid="_x0000_s1039" style="position:absolute;margin-left:-5.25pt;margin-top:0;width:68.25pt;height:15.6pt;z-index:-4;mso-width-relative:page;mso-height-relative:page" stroked="f"/>
              </w:pic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rsidR="00E87AEA" w:rsidRDefault="006A25F0">
      <w:pPr>
        <w:pStyle w:val="afffc"/>
        <w:framePr w:wrap="around"/>
      </w:pPr>
      <w:r>
        <w:fldChar w:fldCharType="begin">
          <w:ffData>
            <w:name w:val="c1"/>
            <w:enabled/>
            <w:calcOnExit w:val="0"/>
            <w:textInput>
              <w:maxLength w:val="2"/>
            </w:textInput>
          </w:ffData>
        </w:fldChar>
      </w:r>
      <w:bookmarkStart w:id="3" w:name="c1"/>
      <w:r>
        <w:instrText xml:space="preserve"> FORMTEXT </w:instrText>
      </w:r>
      <w:r>
        <w:fldChar w:fldCharType="separate"/>
      </w:r>
      <w:r>
        <w:t>HG</w:t>
      </w:r>
      <w:r>
        <w:fldChar w:fldCharType="end"/>
      </w:r>
      <w:bookmarkEnd w:id="3"/>
    </w:p>
    <w:p w:rsidR="00E87AEA" w:rsidRDefault="006A25F0">
      <w:pPr>
        <w:pStyle w:val="afffff9"/>
        <w:framePr w:wrap="around"/>
      </w:pPr>
      <w:r>
        <w:rPr>
          <w:rFonts w:hint="eastAsia"/>
        </w:rPr>
        <w:t>中华人民共和国</w:t>
      </w:r>
      <w:r>
        <w:fldChar w:fldCharType="begin">
          <w:ffData>
            <w:name w:val="c2"/>
            <w:enabled/>
            <w:calcOnExit w:val="0"/>
            <w:textInput/>
          </w:ffData>
        </w:fldChar>
      </w:r>
      <w:bookmarkStart w:id="4" w:name="c2"/>
      <w:r>
        <w:instrText xml:space="preserve"> FORMTEXT </w:instrText>
      </w:r>
      <w:r>
        <w:fldChar w:fldCharType="separate"/>
      </w:r>
      <w:r>
        <w:rPr>
          <w:rFonts w:hint="eastAsia"/>
        </w:rPr>
        <w:t>化工</w:t>
      </w:r>
      <w:r>
        <w:fldChar w:fldCharType="end"/>
      </w:r>
      <w:bookmarkEnd w:id="4"/>
      <w:r>
        <w:rPr>
          <w:rFonts w:hint="eastAsia"/>
        </w:rPr>
        <w:t>行业标准</w:t>
      </w:r>
    </w:p>
    <w:p w:rsidR="00E87AEA" w:rsidRDefault="006A25F0">
      <w:pPr>
        <w:pStyle w:val="21"/>
        <w:framePr w:wrap="around"/>
        <w:rPr>
          <w:rFonts w:hAnsi="黑体"/>
        </w:rPr>
      </w:pPr>
      <w:r>
        <w:rPr>
          <w:rFonts w:ascii="Times New Roman"/>
        </w:rPr>
        <w:fldChar w:fldCharType="begin">
          <w:ffData>
            <w:name w:val="StdNo0"/>
            <w:enabled/>
            <w:calcOnExit w:val="0"/>
            <w:textInput>
              <w:default w:val="XX"/>
              <w:maxLength w:val="2"/>
            </w:textInput>
          </w:ffData>
        </w:fldChar>
      </w:r>
      <w:bookmarkStart w:id="5" w:name="StdNo0"/>
      <w:r>
        <w:rPr>
          <w:rFonts w:ascii="Times New Roman"/>
        </w:rPr>
        <w:instrText xml:space="preserve"> FORMTEXT </w:instrText>
      </w:r>
      <w:r>
        <w:rPr>
          <w:rFonts w:ascii="Times New Roman"/>
        </w:rPr>
      </w:r>
      <w:r>
        <w:rPr>
          <w:rFonts w:ascii="Times New Roman"/>
        </w:rPr>
        <w:fldChar w:fldCharType="separate"/>
      </w:r>
      <w:r>
        <w:rPr>
          <w:rFonts w:ascii="Times New Roman" w:hint="eastAsia"/>
        </w:rPr>
        <w:t>HG</w:t>
      </w:r>
      <w:r>
        <w:rPr>
          <w:rFonts w:ascii="Times New Roman"/>
        </w:rPr>
        <w:fldChar w:fldCharType="end"/>
      </w:r>
      <w:bookmarkEnd w:id="5"/>
      <w:r>
        <w:rPr>
          <w:rFonts w:ascii="Times New Roman"/>
        </w:rPr>
        <w:t xml:space="preserve">/T </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r>
      <w:r>
        <w:rPr>
          <w:rFonts w:hAnsi="黑体"/>
        </w:rPr>
        <w:fldChar w:fldCharType="separate"/>
      </w:r>
      <w:r>
        <w:rPr>
          <w:rFonts w:hAnsi="黑体"/>
        </w:rPr>
        <w:t>XXX</w:t>
      </w:r>
      <w:r>
        <w:rPr>
          <w:rFonts w:hAnsi="黑体"/>
        </w:rPr>
        <w:t>XX</w:t>
      </w:r>
      <w:r>
        <w:rPr>
          <w:rFonts w:hAnsi="黑体"/>
        </w:rPr>
        <w:fldChar w:fldCharType="end"/>
      </w:r>
      <w:bookmarkEnd w:id="6"/>
      <w:r>
        <w:rPr>
          <w:rFonts w:hAnsi="黑体"/>
        </w:rPr>
        <w:t>—</w:t>
      </w:r>
      <w:r>
        <w:rPr>
          <w:rFonts w:hAnsi="黑体"/>
        </w:rPr>
        <w:fldChar w:fldCharType="begin">
          <w:ffData>
            <w:name w:val="StdNo2"/>
            <w:enabled/>
            <w:calcOnExit w:val="0"/>
            <w:textInput>
              <w:default w:val="XXXX"/>
              <w:maxLength w:val="4"/>
            </w:textInput>
          </w:ffData>
        </w:fldChar>
      </w:r>
      <w:bookmarkStart w:id="7" w:name="StdNo2"/>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7"/>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E87AEA">
        <w:tc>
          <w:tcPr>
            <w:tcW w:w="9356" w:type="dxa"/>
            <w:tcBorders>
              <w:top w:val="nil"/>
              <w:left w:val="nil"/>
              <w:bottom w:val="nil"/>
              <w:right w:val="nil"/>
            </w:tcBorders>
            <w:shd w:val="clear" w:color="auto" w:fill="auto"/>
          </w:tcPr>
          <w:p w:rsidR="00E87AEA" w:rsidRDefault="006A25F0">
            <w:pPr>
              <w:pStyle w:val="affff6"/>
              <w:framePr w:wrap="around"/>
            </w:pPr>
            <w:r>
              <w:pict>
                <v:rect id="DT" o:spid="_x0000_s1036" style="position:absolute;left:0;text-align:left;margin-left:372.8pt;margin-top:2.7pt;width:90pt;height:18pt;z-index:-3;mso-width-relative:page;mso-height-relative:page" stroked="f"/>
              </w:pict>
            </w:r>
            <w:r>
              <w:fldChar w:fldCharType="begin">
                <w:ffData>
                  <w:name w:val="DT"/>
                  <w:enabled/>
                  <w:calcOnExit w:val="0"/>
                  <w:textInput/>
                </w:ffData>
              </w:fldChar>
            </w:r>
            <w:bookmarkStart w:id="8" w:name="DT"/>
            <w:r>
              <w:instrText xml:space="preserve"> FORMTEXT </w:instrText>
            </w:r>
            <w:r>
              <w:fldChar w:fldCharType="separate"/>
            </w:r>
            <w:r>
              <w:t>     </w:t>
            </w:r>
            <w:r>
              <w:fldChar w:fldCharType="end"/>
            </w:r>
            <w:bookmarkEnd w:id="8"/>
          </w:p>
        </w:tc>
      </w:tr>
    </w:tbl>
    <w:p w:rsidR="00E87AEA" w:rsidRDefault="00E87AEA">
      <w:pPr>
        <w:pStyle w:val="21"/>
        <w:framePr w:wrap="around"/>
        <w:rPr>
          <w:rFonts w:hAnsi="黑体"/>
        </w:rPr>
      </w:pPr>
    </w:p>
    <w:p w:rsidR="00E87AEA" w:rsidRDefault="00E87AEA">
      <w:pPr>
        <w:pStyle w:val="21"/>
        <w:framePr w:wrap="around"/>
        <w:rPr>
          <w:rFonts w:hAnsi="黑体"/>
        </w:rPr>
      </w:pPr>
    </w:p>
    <w:p w:rsidR="00E87AEA" w:rsidRDefault="006A25F0">
      <w:pPr>
        <w:pStyle w:val="affff7"/>
        <w:framePr w:wrap="around"/>
      </w:pPr>
      <w:r>
        <w:fldChar w:fldCharType="begin">
          <w:ffData>
            <w:name w:val="StdName"/>
            <w:enabled/>
            <w:calcOnExit w:val="0"/>
            <w:textInput>
              <w:default w:val="点击此处添加标准名称"/>
            </w:textInput>
          </w:ffData>
        </w:fldChar>
      </w:r>
      <w:bookmarkStart w:id="9" w:name="StdName"/>
      <w:r>
        <w:instrText xml:space="preserve"> FORMTEXT </w:instrText>
      </w:r>
      <w:r>
        <w:fldChar w:fldCharType="separate"/>
      </w:r>
      <w:r>
        <w:rPr>
          <w:rFonts w:hint="eastAsia"/>
        </w:rPr>
        <w:t>保持性肥料</w:t>
      </w:r>
      <w:r>
        <w:fldChar w:fldCharType="end"/>
      </w:r>
      <w:bookmarkEnd w:id="9"/>
    </w:p>
    <w:p w:rsidR="00E87AEA" w:rsidRDefault="006A25F0">
      <w:pPr>
        <w:pStyle w:val="affff8"/>
        <w:framePr w:wrap="around"/>
      </w:pPr>
      <w:r>
        <w:fldChar w:fldCharType="begin">
          <w:ffData>
            <w:name w:val="StdEnglishName"/>
            <w:enabled/>
            <w:calcOnExit w:val="0"/>
            <w:textInput>
              <w:default w:val="点击此处添加标准英文译名"/>
            </w:textInput>
          </w:ffData>
        </w:fldChar>
      </w:r>
      <w:bookmarkStart w:id="10" w:name="StdEnglishName"/>
      <w:r>
        <w:instrText xml:space="preserve"> FORMTEXT </w:instrText>
      </w:r>
      <w:r>
        <w:fldChar w:fldCharType="separate"/>
      </w:r>
      <w:r>
        <w:t>Nutrient-retaining fertilizer</w:t>
      </w:r>
      <w:r>
        <w:fldChar w:fldCharType="end"/>
      </w:r>
      <w:bookmarkEnd w:id="10"/>
    </w:p>
    <w:p w:rsidR="00E87AEA" w:rsidRDefault="006A25F0">
      <w:pPr>
        <w:pStyle w:val="affff9"/>
        <w:framePr w:wrap="around"/>
      </w:pPr>
      <w:r>
        <w:fldChar w:fldCharType="begin">
          <w:ffData>
            <w:name w:val="YZBS"/>
            <w:enabled/>
            <w:calcOnExit w:val="0"/>
            <w:textInput>
              <w:default w:val="点击此处添加与国际标准一致性程度的标识"/>
            </w:textInput>
          </w:ffData>
        </w:fldChar>
      </w:r>
      <w:bookmarkStart w:id="11" w:name="YZBS"/>
      <w:r>
        <w:instrText xml:space="preserve"> FORMTEXT </w:instrText>
      </w:r>
      <w:r>
        <w:fldChar w:fldCharType="separate"/>
      </w:r>
      <w:r>
        <w:t>     </w:t>
      </w:r>
      <w:r>
        <w:fldChar w:fldCharType="end"/>
      </w:r>
      <w:bookmarkEnd w:id="11"/>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E87AEA">
        <w:tc>
          <w:tcPr>
            <w:tcW w:w="9855" w:type="dxa"/>
            <w:tcBorders>
              <w:top w:val="nil"/>
              <w:left w:val="nil"/>
              <w:bottom w:val="nil"/>
              <w:right w:val="nil"/>
            </w:tcBorders>
            <w:shd w:val="clear" w:color="auto" w:fill="auto"/>
          </w:tcPr>
          <w:p w:rsidR="00E87AEA" w:rsidRDefault="006A25F0">
            <w:pPr>
              <w:pStyle w:val="affffa"/>
              <w:framePr w:wrap="around"/>
            </w:pPr>
            <w:r>
              <w:pict>
                <v:rect id="RQ" o:spid="_x0000_s1038" style="position:absolute;left:0;text-align:left;margin-left:173.3pt;margin-top:45.15pt;width:150pt;height:20pt;z-index:-2;mso-width-relative:page;mso-height-relative:page" stroked="f">
                  <w10:anchorlock/>
                </v:rect>
              </w:pict>
            </w:r>
            <w:r>
              <w:pict>
                <v:rect id="LB" o:spid="_x0000_s1037" style="position:absolute;left:0;text-align:left;margin-left:193.3pt;margin-top:20.15pt;width:100pt;height:24pt;z-index:-1;mso-width-relative:page;mso-height-relative:page"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tr w:rsidR="00E87AEA">
        <w:tc>
          <w:tcPr>
            <w:tcW w:w="9855" w:type="dxa"/>
            <w:tcBorders>
              <w:top w:val="nil"/>
              <w:left w:val="nil"/>
              <w:bottom w:val="nil"/>
              <w:right w:val="nil"/>
            </w:tcBorders>
            <w:shd w:val="clear" w:color="auto" w:fill="auto"/>
          </w:tcPr>
          <w:p w:rsidR="00E87AEA" w:rsidRDefault="006A25F0">
            <w:pPr>
              <w:pStyle w:val="affffb"/>
              <w:framePr w:wrap="around"/>
            </w:pPr>
            <w:r>
              <w:fldChar w:fldCharType="begin">
                <w:ffData>
                  <w:name w:val="WCRQ"/>
                  <w:enabled/>
                  <w:calcOnExit w:val="0"/>
                  <w:textInput/>
                </w:ffData>
              </w:fldChar>
            </w:r>
            <w:bookmarkStart w:id="13" w:name="WCRQ"/>
            <w:r>
              <w:instrText xml:space="preserve"> FORMTEXT </w:instrText>
            </w:r>
            <w:r>
              <w:fldChar w:fldCharType="separate"/>
            </w:r>
            <w:r>
              <w:t>     </w:t>
            </w:r>
            <w:r>
              <w:fldChar w:fldCharType="end"/>
            </w:r>
            <w:bookmarkEnd w:id="13"/>
          </w:p>
        </w:tc>
      </w:tr>
    </w:tbl>
    <w:p w:rsidR="00E87AEA" w:rsidRDefault="00397107">
      <w:pPr>
        <w:pStyle w:val="affffff8"/>
        <w:framePr w:wrap="around" w:hAnchor="page" w:x="1531" w:y="14086"/>
      </w:pPr>
      <w:r>
        <w:rPr>
          <w:rFonts w:ascii="黑体" w:hint="eastAsia"/>
        </w:rPr>
        <w:t>XXXX</w:t>
      </w:r>
      <w:r w:rsidR="006A25F0">
        <w:t xml:space="preserve"> </w:t>
      </w:r>
      <w:r w:rsidR="006A25F0">
        <w:rPr>
          <w:rFonts w:ascii="黑体"/>
        </w:rPr>
        <w:t>-</w:t>
      </w:r>
      <w:r w:rsidR="006A25F0">
        <w:t xml:space="preserve"> </w:t>
      </w:r>
      <w:r w:rsidR="006A25F0">
        <w:rPr>
          <w:rFonts w:ascii="黑体"/>
        </w:rPr>
        <w:fldChar w:fldCharType="begin">
          <w:ffData>
            <w:name w:val="FM"/>
            <w:enabled/>
            <w:calcOnExit w:val="0"/>
            <w:textInput>
              <w:default w:val="XX"/>
              <w:maxLength w:val="2"/>
            </w:textInput>
          </w:ffData>
        </w:fldChar>
      </w:r>
      <w:r w:rsidR="006A25F0">
        <w:rPr>
          <w:rFonts w:ascii="黑体"/>
        </w:rPr>
        <w:instrText xml:space="preserve"> FORMTEXT </w:instrText>
      </w:r>
      <w:r w:rsidR="006A25F0">
        <w:rPr>
          <w:rFonts w:ascii="黑体"/>
        </w:rPr>
      </w:r>
      <w:r w:rsidR="006A25F0">
        <w:rPr>
          <w:rFonts w:ascii="黑体"/>
        </w:rPr>
        <w:fldChar w:fldCharType="separate"/>
      </w:r>
      <w:r w:rsidR="006A25F0">
        <w:rPr>
          <w:rFonts w:ascii="黑体"/>
        </w:rPr>
        <w:t>XX</w:t>
      </w:r>
      <w:r w:rsidR="006A25F0">
        <w:rPr>
          <w:rFonts w:ascii="黑体"/>
        </w:rPr>
        <w:fldChar w:fldCharType="end"/>
      </w:r>
      <w:r w:rsidR="006A25F0">
        <w:t xml:space="preserve"> </w:t>
      </w:r>
      <w:r w:rsidR="006A25F0">
        <w:rPr>
          <w:rFonts w:ascii="黑体"/>
        </w:rPr>
        <w:t>-</w:t>
      </w:r>
      <w:r w:rsidR="006A25F0">
        <w:t xml:space="preserve"> </w:t>
      </w:r>
      <w:r w:rsidR="006A25F0">
        <w:rPr>
          <w:rFonts w:ascii="黑体"/>
        </w:rPr>
        <w:fldChar w:fldCharType="begin">
          <w:ffData>
            <w:name w:val="FD"/>
            <w:enabled/>
            <w:calcOnExit w:val="0"/>
            <w:textInput>
              <w:default w:val="XX"/>
              <w:maxLength w:val="2"/>
            </w:textInput>
          </w:ffData>
        </w:fldChar>
      </w:r>
      <w:bookmarkStart w:id="14" w:name="FD"/>
      <w:r w:rsidR="006A25F0">
        <w:rPr>
          <w:rFonts w:ascii="黑体"/>
        </w:rPr>
        <w:instrText xml:space="preserve"> FORMTEXT </w:instrText>
      </w:r>
      <w:r w:rsidR="006A25F0">
        <w:rPr>
          <w:rFonts w:ascii="黑体"/>
        </w:rPr>
      </w:r>
      <w:r w:rsidR="006A25F0">
        <w:rPr>
          <w:rFonts w:ascii="黑体"/>
        </w:rPr>
        <w:fldChar w:fldCharType="separate"/>
      </w:r>
      <w:r w:rsidR="006A25F0">
        <w:rPr>
          <w:rFonts w:ascii="黑体"/>
        </w:rPr>
        <w:t>XX</w:t>
      </w:r>
      <w:r w:rsidR="006A25F0">
        <w:rPr>
          <w:rFonts w:ascii="黑体"/>
        </w:rPr>
        <w:fldChar w:fldCharType="end"/>
      </w:r>
      <w:bookmarkEnd w:id="14"/>
      <w:r w:rsidR="006A25F0">
        <w:rPr>
          <w:rFonts w:hint="eastAsia"/>
        </w:rPr>
        <w:t>发布</w:t>
      </w:r>
      <w:r w:rsidR="006A25F0">
        <w:pict>
          <v:line id="_x0000_s1034" style="position:absolute;z-index:1;mso-position-horizontal-relative:text;mso-position-vertical-relative:page;mso-width-relative:page;mso-height-relative:page" from="-.05pt,728.5pt" to="481.85pt,728.5pt">
            <w10:wrap anchory="page"/>
            <w10:anchorlock/>
          </v:line>
        </w:pict>
      </w:r>
    </w:p>
    <w:p w:rsidR="00E87AEA" w:rsidRDefault="006A25F0">
      <w:pPr>
        <w:pStyle w:val="affffff9"/>
        <w:framePr w:wrap="around" w:hAnchor="page" w:x="7201" w:y="14071"/>
      </w:pPr>
      <w:r>
        <w:rPr>
          <w:rFonts w:ascii="黑体"/>
        </w:rPr>
        <w:fldChar w:fldCharType="begin">
          <w:ffData>
            <w:name w:val="SY"/>
            <w:enabled/>
            <w:calcOnExit w:val="0"/>
            <w:textInput>
              <w:default w:val="XXXX"/>
              <w:maxLength w:val="4"/>
            </w:textInput>
          </w:ffData>
        </w:fldChar>
      </w:r>
      <w:bookmarkStart w:id="15"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SM"/>
            <w:enabled/>
            <w:calcOnExit w:val="0"/>
            <w:textInput>
              <w:default w:val="XX"/>
              <w:maxLength w:val="2"/>
            </w:textInput>
          </w:ffData>
        </w:fldChar>
      </w:r>
      <w:bookmarkStart w:id="16"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SD"/>
            <w:enabled/>
            <w:calcOnExit w:val="0"/>
            <w:textInput>
              <w:default w:val="XX"/>
              <w:maxLength w:val="2"/>
            </w:textInput>
          </w:ffData>
        </w:fldChar>
      </w:r>
      <w:bookmarkStart w:id="17"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E87AEA" w:rsidRDefault="006A25F0">
      <w:pPr>
        <w:pStyle w:val="afffffa"/>
        <w:framePr w:wrap="around"/>
      </w:pPr>
      <w:r>
        <w:fldChar w:fldCharType="begin">
          <w:ffData>
            <w:name w:val="fm"/>
            <w:enabled/>
            <w:calcOnExit w:val="0"/>
            <w:textInput/>
          </w:ffData>
        </w:fldChar>
      </w:r>
      <w:bookmarkStart w:id="18" w:name="fm"/>
      <w:r>
        <w:instrText xml:space="preserve"> FORMTEXT </w:instrText>
      </w:r>
      <w:r>
        <w:fldChar w:fldCharType="separate"/>
      </w:r>
      <w:r>
        <w:rPr>
          <w:rFonts w:hint="eastAsia"/>
        </w:rPr>
        <w:t>中华人民共和国工业和信息化部</w:t>
      </w:r>
      <w:r>
        <w:fldChar w:fldCharType="end"/>
      </w:r>
      <w:bookmarkEnd w:id="18"/>
      <w:r>
        <w:rPr>
          <w:rFonts w:hAnsi="黑体"/>
        </w:rPr>
        <w:t>  </w:t>
      </w:r>
      <w:r>
        <w:rPr>
          <w:rStyle w:val="affff3"/>
          <w:rFonts w:hint="eastAsia"/>
        </w:rPr>
        <w:t>发布</w:t>
      </w:r>
    </w:p>
    <w:p w:rsidR="00E87AEA" w:rsidRDefault="006A25F0">
      <w:pPr>
        <w:pStyle w:val="affd"/>
        <w:sectPr w:rsidR="00E87AEA">
          <w:pgSz w:w="11906" w:h="16838"/>
          <w:pgMar w:top="567" w:right="850" w:bottom="1134" w:left="1418" w:header="0" w:footer="0" w:gutter="0"/>
          <w:pgNumType w:start="1"/>
          <w:cols w:space="425"/>
          <w:docGrid w:type="lines" w:linePitch="312"/>
        </w:sectPr>
      </w:pPr>
      <w:r>
        <w:pict>
          <v:line id="_x0000_s1035" style="position:absolute;left:0;text-align:left;z-index:2;mso-width-relative:page;mso-height-relative:page" from="-.05pt,184.25pt" to="481.85pt,184.25pt"/>
        </w:pict>
      </w:r>
    </w:p>
    <w:p w:rsidR="00E87AEA" w:rsidRDefault="006A25F0">
      <w:pPr>
        <w:pStyle w:val="afff8"/>
      </w:pPr>
      <w:r>
        <w:rPr>
          <w:rFonts w:hint="eastAsia"/>
        </w:rPr>
        <w:lastRenderedPageBreak/>
        <w:t>目</w:t>
      </w:r>
      <w:bookmarkStart w:id="19" w:name="BKML"/>
      <w:r>
        <w:rPr>
          <w:rFonts w:hAnsi="黑体"/>
        </w:rPr>
        <w:t>  </w:t>
      </w:r>
      <w:r>
        <w:rPr>
          <w:rFonts w:hint="eastAsia"/>
        </w:rPr>
        <w:t>次</w:t>
      </w:r>
      <w:bookmarkEnd w:id="19"/>
    </w:p>
    <w:p w:rsidR="00E87AEA" w:rsidRDefault="006A25F0">
      <w:pPr>
        <w:pStyle w:val="10"/>
        <w:spacing w:before="78" w:after="78"/>
        <w:rPr>
          <w:rFonts w:ascii="等线" w:eastAsia="等线" w:hAnsi="等线"/>
          <w:szCs w:val="22"/>
        </w:rPr>
      </w:pPr>
      <w:r>
        <w:fldChar w:fldCharType="begin" w:fldLock="1"/>
      </w:r>
      <w:r>
        <w:instrText xml:space="preserve"> </w:instrText>
      </w:r>
      <w:r>
        <w:rPr>
          <w:rFonts w:hint="eastAsia"/>
        </w:rPr>
        <w:instrText>TOC \h \z \t"</w:instrText>
      </w:r>
      <w:r>
        <w:rPr>
          <w:rFonts w:hint="eastAsia"/>
        </w:rPr>
        <w:instrText>前言、引言标题</w:instrText>
      </w:r>
      <w:r>
        <w:rPr>
          <w:rFonts w:hint="eastAsia"/>
        </w:rPr>
        <w:instrText>,1,</w:instrText>
      </w:r>
      <w:r>
        <w:rPr>
          <w:rFonts w:hint="eastAsia"/>
        </w:rPr>
        <w:instrText>参考文献、索引标题</w:instrText>
      </w:r>
      <w:r>
        <w:rPr>
          <w:rFonts w:hint="eastAsia"/>
        </w:rPr>
        <w:instrText>,1,</w:instrText>
      </w:r>
      <w:r>
        <w:rPr>
          <w:rFonts w:hint="eastAsia"/>
        </w:rPr>
        <w:instrText>章标题</w:instrText>
      </w:r>
      <w:r>
        <w:rPr>
          <w:rFonts w:hint="eastAsia"/>
        </w:rPr>
        <w:instrText>,1,</w:instrText>
      </w:r>
      <w:r>
        <w:rPr>
          <w:rFonts w:hint="eastAsia"/>
        </w:rPr>
        <w:instrText>参考文献</w:instrText>
      </w:r>
      <w:r>
        <w:rPr>
          <w:rFonts w:hint="eastAsia"/>
        </w:rPr>
        <w:instrText>,1,</w:instrText>
      </w:r>
      <w:r>
        <w:rPr>
          <w:rFonts w:hint="eastAsia"/>
        </w:rPr>
        <w:instrText>附录标识</w:instrText>
      </w:r>
      <w:r>
        <w:rPr>
          <w:rFonts w:hint="eastAsia"/>
        </w:rPr>
        <w:instrText>,1" \* MERGEFORM</w:instrText>
      </w:r>
      <w:r>
        <w:rPr>
          <w:rFonts w:hint="eastAsia"/>
        </w:rPr>
        <w:instrText>AT</w:instrText>
      </w:r>
      <w:r>
        <w:instrText xml:space="preserve"> </w:instrText>
      </w:r>
      <w:r>
        <w:fldChar w:fldCharType="separate"/>
      </w:r>
      <w:hyperlink w:anchor="_Toc491250091" w:history="1">
        <w:r>
          <w:rPr>
            <w:rStyle w:val="afff3"/>
            <w:rFonts w:hint="eastAsia"/>
          </w:rPr>
          <w:t>前言</w:t>
        </w:r>
        <w:r>
          <w:tab/>
        </w:r>
        <w:r>
          <w:fldChar w:fldCharType="begin" w:fldLock="1"/>
        </w:r>
        <w:r>
          <w:instrText xml:space="preserve"> PAGEREF _Toc491250091 \h </w:instrText>
        </w:r>
        <w:r>
          <w:fldChar w:fldCharType="separate"/>
        </w:r>
        <w:r>
          <w:t>II</w:t>
        </w:r>
        <w:r>
          <w:fldChar w:fldCharType="end"/>
        </w:r>
      </w:hyperlink>
    </w:p>
    <w:p w:rsidR="00E87AEA" w:rsidRDefault="006A25F0">
      <w:pPr>
        <w:pStyle w:val="10"/>
        <w:spacing w:before="78" w:after="78"/>
        <w:rPr>
          <w:rFonts w:ascii="等线" w:eastAsia="等线" w:hAnsi="等线"/>
          <w:szCs w:val="22"/>
        </w:rPr>
      </w:pPr>
      <w:hyperlink w:anchor="_Toc491250092" w:history="1">
        <w:r>
          <w:rPr>
            <w:rStyle w:val="afff3"/>
          </w:rPr>
          <w:t>1</w:t>
        </w:r>
        <w:r>
          <w:rPr>
            <w:rStyle w:val="afff3"/>
            <w:rFonts w:hint="eastAsia"/>
          </w:rPr>
          <w:t xml:space="preserve">　范围</w:t>
        </w:r>
        <w:r>
          <w:tab/>
        </w:r>
        <w:r>
          <w:fldChar w:fldCharType="begin" w:fldLock="1"/>
        </w:r>
        <w:r>
          <w:instrText xml:space="preserve"> PAGEREF _Toc491250092 \h </w:instrText>
        </w:r>
        <w:r>
          <w:fldChar w:fldCharType="separate"/>
        </w:r>
        <w:r>
          <w:t>1</w:t>
        </w:r>
        <w:r>
          <w:fldChar w:fldCharType="end"/>
        </w:r>
      </w:hyperlink>
    </w:p>
    <w:p w:rsidR="00E87AEA" w:rsidRDefault="006A25F0">
      <w:pPr>
        <w:pStyle w:val="10"/>
        <w:spacing w:before="78" w:after="78"/>
        <w:rPr>
          <w:rFonts w:ascii="等线" w:eastAsia="等线" w:hAnsi="等线"/>
          <w:szCs w:val="22"/>
        </w:rPr>
      </w:pPr>
      <w:hyperlink w:anchor="_Toc491250093" w:history="1">
        <w:r>
          <w:rPr>
            <w:rStyle w:val="afff3"/>
          </w:rPr>
          <w:t>2</w:t>
        </w:r>
        <w:r>
          <w:rPr>
            <w:rStyle w:val="afff3"/>
            <w:rFonts w:hint="eastAsia"/>
          </w:rPr>
          <w:t xml:space="preserve">　规范性引用文件</w:t>
        </w:r>
        <w:r>
          <w:tab/>
        </w:r>
        <w:r>
          <w:fldChar w:fldCharType="begin" w:fldLock="1"/>
        </w:r>
        <w:r>
          <w:instrText xml:space="preserve"> PAGEREF _Toc491250093 \h </w:instrText>
        </w:r>
        <w:r>
          <w:fldChar w:fldCharType="separate"/>
        </w:r>
        <w:r>
          <w:t>1</w:t>
        </w:r>
        <w:r>
          <w:fldChar w:fldCharType="end"/>
        </w:r>
      </w:hyperlink>
    </w:p>
    <w:p w:rsidR="00E87AEA" w:rsidRDefault="006A25F0">
      <w:pPr>
        <w:pStyle w:val="10"/>
        <w:spacing w:before="78" w:after="78"/>
        <w:rPr>
          <w:rFonts w:ascii="等线" w:eastAsia="等线" w:hAnsi="等线"/>
          <w:szCs w:val="22"/>
        </w:rPr>
      </w:pPr>
      <w:hyperlink w:anchor="_Toc491250094" w:history="1">
        <w:r>
          <w:rPr>
            <w:rStyle w:val="afff3"/>
          </w:rPr>
          <w:t>3</w:t>
        </w:r>
        <w:r>
          <w:rPr>
            <w:rStyle w:val="afff3"/>
            <w:rFonts w:hint="eastAsia"/>
          </w:rPr>
          <w:t xml:space="preserve">　术语和定义</w:t>
        </w:r>
        <w:r>
          <w:tab/>
        </w:r>
        <w:r>
          <w:fldChar w:fldCharType="begin" w:fldLock="1"/>
        </w:r>
        <w:r>
          <w:instrText xml:space="preserve"> PAGEREF _Toc491250094 \h </w:instrText>
        </w:r>
        <w:r>
          <w:fldChar w:fldCharType="separate"/>
        </w:r>
        <w:r>
          <w:t>1</w:t>
        </w:r>
        <w:r>
          <w:fldChar w:fldCharType="end"/>
        </w:r>
      </w:hyperlink>
    </w:p>
    <w:p w:rsidR="00E87AEA" w:rsidRDefault="006A25F0">
      <w:pPr>
        <w:pStyle w:val="10"/>
        <w:spacing w:before="78" w:after="78"/>
        <w:rPr>
          <w:rFonts w:ascii="等线" w:eastAsia="等线" w:hAnsi="等线"/>
          <w:szCs w:val="22"/>
        </w:rPr>
      </w:pPr>
      <w:hyperlink w:anchor="_Toc491250095" w:history="1">
        <w:r>
          <w:rPr>
            <w:rStyle w:val="afff3"/>
          </w:rPr>
          <w:t>4</w:t>
        </w:r>
        <w:r>
          <w:rPr>
            <w:rStyle w:val="afff3"/>
            <w:rFonts w:hint="eastAsia"/>
          </w:rPr>
          <w:t xml:space="preserve">　要求</w:t>
        </w:r>
        <w:r>
          <w:tab/>
        </w:r>
        <w:r>
          <w:fldChar w:fldCharType="begin" w:fldLock="1"/>
        </w:r>
        <w:r>
          <w:instrText xml:space="preserve"> PAGEREF _Toc4912</w:instrText>
        </w:r>
        <w:r>
          <w:instrText xml:space="preserve">50095 \h </w:instrText>
        </w:r>
        <w:r>
          <w:fldChar w:fldCharType="separate"/>
        </w:r>
        <w:r>
          <w:t>2</w:t>
        </w:r>
        <w:r>
          <w:fldChar w:fldCharType="end"/>
        </w:r>
      </w:hyperlink>
    </w:p>
    <w:p w:rsidR="00E87AEA" w:rsidRDefault="006A25F0">
      <w:pPr>
        <w:pStyle w:val="10"/>
        <w:spacing w:before="78" w:after="78"/>
        <w:rPr>
          <w:rFonts w:ascii="等线" w:eastAsia="等线" w:hAnsi="等线"/>
          <w:szCs w:val="22"/>
        </w:rPr>
      </w:pPr>
      <w:hyperlink w:anchor="_Toc491250096" w:history="1">
        <w:r>
          <w:rPr>
            <w:rStyle w:val="afff3"/>
          </w:rPr>
          <w:t>5</w:t>
        </w:r>
        <w:r>
          <w:rPr>
            <w:rStyle w:val="afff3"/>
            <w:rFonts w:hint="eastAsia"/>
          </w:rPr>
          <w:t xml:space="preserve">　试验方法</w:t>
        </w:r>
        <w:r>
          <w:tab/>
        </w:r>
        <w:r>
          <w:fldChar w:fldCharType="begin" w:fldLock="1"/>
        </w:r>
        <w:r>
          <w:instrText xml:space="preserve"> PAGEREF _Toc491250096 \h </w:instrText>
        </w:r>
        <w:r>
          <w:fldChar w:fldCharType="separate"/>
        </w:r>
        <w:r>
          <w:t>3</w:t>
        </w:r>
        <w:r>
          <w:fldChar w:fldCharType="end"/>
        </w:r>
      </w:hyperlink>
    </w:p>
    <w:p w:rsidR="00E87AEA" w:rsidRDefault="006A25F0">
      <w:pPr>
        <w:pStyle w:val="10"/>
        <w:spacing w:before="78" w:after="78"/>
        <w:rPr>
          <w:rFonts w:ascii="等线" w:eastAsia="等线" w:hAnsi="等线"/>
          <w:szCs w:val="22"/>
        </w:rPr>
      </w:pPr>
      <w:hyperlink w:anchor="_Toc491250097" w:history="1">
        <w:r>
          <w:rPr>
            <w:rStyle w:val="afff3"/>
          </w:rPr>
          <w:t>6</w:t>
        </w:r>
        <w:r>
          <w:rPr>
            <w:rStyle w:val="afff3"/>
            <w:rFonts w:hint="eastAsia"/>
          </w:rPr>
          <w:t xml:space="preserve">　检验规则</w:t>
        </w:r>
        <w:r>
          <w:tab/>
        </w:r>
        <w:r>
          <w:fldChar w:fldCharType="begin" w:fldLock="1"/>
        </w:r>
        <w:r>
          <w:instrText xml:space="preserve"> PAGEREF _Toc491250097 \h </w:instrText>
        </w:r>
        <w:r>
          <w:fldChar w:fldCharType="separate"/>
        </w:r>
        <w:r>
          <w:t>3</w:t>
        </w:r>
        <w:r>
          <w:fldChar w:fldCharType="end"/>
        </w:r>
      </w:hyperlink>
    </w:p>
    <w:p w:rsidR="00E87AEA" w:rsidRDefault="006A25F0">
      <w:pPr>
        <w:pStyle w:val="10"/>
        <w:spacing w:before="78" w:after="78"/>
        <w:rPr>
          <w:rFonts w:ascii="等线" w:eastAsia="等线" w:hAnsi="等线"/>
          <w:szCs w:val="22"/>
        </w:rPr>
      </w:pPr>
      <w:hyperlink w:anchor="_Toc491250098" w:history="1">
        <w:r>
          <w:rPr>
            <w:rStyle w:val="afff3"/>
          </w:rPr>
          <w:t>7</w:t>
        </w:r>
        <w:r>
          <w:rPr>
            <w:rStyle w:val="afff3"/>
            <w:rFonts w:hint="eastAsia"/>
          </w:rPr>
          <w:t xml:space="preserve">　标识</w:t>
        </w:r>
        <w:r>
          <w:tab/>
        </w:r>
        <w:r>
          <w:fldChar w:fldCharType="begin" w:fldLock="1"/>
        </w:r>
        <w:r>
          <w:instrText xml:space="preserve"> PAGEREF _Toc4912</w:instrText>
        </w:r>
        <w:r>
          <w:instrText xml:space="preserve">50098 \h </w:instrText>
        </w:r>
        <w:r>
          <w:fldChar w:fldCharType="separate"/>
        </w:r>
        <w:r>
          <w:t>5</w:t>
        </w:r>
        <w:r>
          <w:fldChar w:fldCharType="end"/>
        </w:r>
      </w:hyperlink>
    </w:p>
    <w:p w:rsidR="00E87AEA" w:rsidRDefault="006A25F0">
      <w:pPr>
        <w:pStyle w:val="10"/>
        <w:spacing w:before="78" w:after="78"/>
        <w:rPr>
          <w:rFonts w:ascii="等线" w:eastAsia="等线" w:hAnsi="等线"/>
          <w:szCs w:val="22"/>
        </w:rPr>
      </w:pPr>
      <w:hyperlink w:anchor="_Toc491250099" w:history="1">
        <w:r>
          <w:rPr>
            <w:rStyle w:val="afff3"/>
          </w:rPr>
          <w:t>8</w:t>
        </w:r>
        <w:r>
          <w:rPr>
            <w:rStyle w:val="afff3"/>
            <w:rFonts w:hint="eastAsia"/>
          </w:rPr>
          <w:t xml:space="preserve">　包装、运输和贮存</w:t>
        </w:r>
        <w:r>
          <w:tab/>
        </w:r>
        <w:r>
          <w:fldChar w:fldCharType="begin" w:fldLock="1"/>
        </w:r>
        <w:r>
          <w:instrText xml:space="preserve"> PAGEREF _Toc491250099 \h </w:instrText>
        </w:r>
        <w:r>
          <w:fldChar w:fldCharType="separate"/>
        </w:r>
        <w:r>
          <w:t>6</w:t>
        </w:r>
        <w:r>
          <w:fldChar w:fldCharType="end"/>
        </w:r>
      </w:hyperlink>
    </w:p>
    <w:p w:rsidR="00E87AEA" w:rsidRDefault="006A25F0">
      <w:pPr>
        <w:pStyle w:val="10"/>
        <w:spacing w:before="78" w:after="78"/>
        <w:rPr>
          <w:rFonts w:ascii="等线" w:eastAsia="等线" w:hAnsi="等线"/>
          <w:szCs w:val="22"/>
        </w:rPr>
      </w:pPr>
      <w:hyperlink w:anchor="_Toc491250100" w:history="1">
        <w:r>
          <w:rPr>
            <w:rStyle w:val="afff3"/>
            <w:rFonts w:hint="eastAsia"/>
          </w:rPr>
          <w:t>附录</w:t>
        </w:r>
        <w:r>
          <w:rPr>
            <w:rStyle w:val="afff3"/>
            <w:rFonts w:hint="eastAsia"/>
          </w:rPr>
          <w:t>A</w:t>
        </w:r>
        <w:r>
          <w:rPr>
            <w:rStyle w:val="afff3"/>
            <w:rFonts w:hint="eastAsia"/>
          </w:rPr>
          <w:t>（</w:t>
        </w:r>
        <w:r>
          <w:rPr>
            <w:rStyle w:val="afff3"/>
            <w:rFonts w:hint="eastAsia"/>
          </w:rPr>
          <w:t>规范性附录）</w:t>
        </w:r>
        <w:r>
          <w:rPr>
            <w:rStyle w:val="afff3"/>
          </w:rPr>
          <w:t xml:space="preserve">　</w:t>
        </w:r>
        <w:r>
          <w:rPr>
            <w:rStyle w:val="afff3"/>
            <w:rFonts w:hint="eastAsia"/>
          </w:rPr>
          <w:t>养分保持率的测定</w:t>
        </w:r>
        <w:r>
          <w:rPr>
            <w:rStyle w:val="afff3"/>
          </w:rPr>
          <w:t xml:space="preserve">　</w:t>
        </w:r>
        <w:r>
          <w:rPr>
            <w:rStyle w:val="afff3"/>
            <w:rFonts w:hint="eastAsia"/>
          </w:rPr>
          <w:t>蠕动泵反向淋溶法</w:t>
        </w:r>
        <w:r>
          <w:tab/>
        </w:r>
        <w:r>
          <w:fldChar w:fldCharType="begin" w:fldLock="1"/>
        </w:r>
        <w:r>
          <w:instrText xml:space="preserve"> PAGEREF _Toc491250100 \h </w:instrText>
        </w:r>
        <w:r>
          <w:fldChar w:fldCharType="separate"/>
        </w:r>
        <w:r>
          <w:t>7</w:t>
        </w:r>
        <w:r>
          <w:fldChar w:fldCharType="end"/>
        </w:r>
      </w:hyperlink>
    </w:p>
    <w:p w:rsidR="00E87AEA" w:rsidRDefault="006A25F0">
      <w:pPr>
        <w:pStyle w:val="10"/>
        <w:spacing w:before="78" w:after="78"/>
        <w:rPr>
          <w:rFonts w:ascii="等线" w:eastAsia="等线" w:hAnsi="等线"/>
          <w:szCs w:val="22"/>
        </w:rPr>
      </w:pPr>
      <w:hyperlink w:anchor="_Toc491250101" w:history="1">
        <w:r>
          <w:rPr>
            <w:rStyle w:val="afff3"/>
            <w:rFonts w:hint="eastAsia"/>
          </w:rPr>
          <w:t>附录</w:t>
        </w:r>
        <w:r>
          <w:rPr>
            <w:rStyle w:val="afff3"/>
            <w:rFonts w:hint="eastAsia"/>
          </w:rPr>
          <w:t>B</w:t>
        </w:r>
        <w:r>
          <w:rPr>
            <w:rStyle w:val="afff3"/>
            <w:rFonts w:hint="eastAsia"/>
          </w:rPr>
          <w:t>（规范性附录）</w:t>
        </w:r>
        <w:r>
          <w:rPr>
            <w:rStyle w:val="afff3"/>
          </w:rPr>
          <w:t xml:space="preserve">　</w:t>
        </w:r>
        <w:r>
          <w:rPr>
            <w:rStyle w:val="afff3"/>
            <w:rFonts w:hint="eastAsia"/>
          </w:rPr>
          <w:t>氨挥发减少率的测定</w:t>
        </w:r>
        <w:r>
          <w:tab/>
        </w:r>
        <w:r>
          <w:fldChar w:fldCharType="begin" w:fldLock="1"/>
        </w:r>
        <w:r>
          <w:instrText xml:space="preserve"> PAGEREF _Toc491250101 \h </w:instrText>
        </w:r>
        <w:r>
          <w:fldChar w:fldCharType="separate"/>
        </w:r>
        <w:r>
          <w:t>11</w:t>
        </w:r>
        <w:r>
          <w:fldChar w:fldCharType="end"/>
        </w:r>
      </w:hyperlink>
    </w:p>
    <w:p w:rsidR="00E87AEA" w:rsidRDefault="006A25F0">
      <w:pPr>
        <w:pStyle w:val="10"/>
        <w:spacing w:before="78" w:after="78"/>
        <w:rPr>
          <w:rFonts w:ascii="等线" w:eastAsia="等线" w:hAnsi="等线"/>
          <w:szCs w:val="22"/>
        </w:rPr>
      </w:pPr>
      <w:hyperlink w:anchor="_Toc491250102" w:history="1">
        <w:r>
          <w:rPr>
            <w:rStyle w:val="afff3"/>
            <w:rFonts w:hint="eastAsia"/>
          </w:rPr>
          <w:t>附录</w:t>
        </w:r>
        <w:r>
          <w:rPr>
            <w:rStyle w:val="afff3"/>
            <w:rFonts w:hint="eastAsia"/>
          </w:rPr>
          <w:t>C</w:t>
        </w:r>
        <w:r>
          <w:rPr>
            <w:rStyle w:val="afff3"/>
            <w:rFonts w:hint="eastAsia"/>
          </w:rPr>
          <w:t>（资料性附录）</w:t>
        </w:r>
        <w:r>
          <w:rPr>
            <w:rStyle w:val="afff3"/>
          </w:rPr>
          <w:t xml:space="preserve">　</w:t>
        </w:r>
        <w:r>
          <w:rPr>
            <w:rStyle w:val="afff3"/>
            <w:rFonts w:hint="eastAsia"/>
          </w:rPr>
          <w:t>对照样品称取方法示例</w:t>
        </w:r>
        <w:r>
          <w:tab/>
        </w:r>
        <w:r>
          <w:fldChar w:fldCharType="begin" w:fldLock="1"/>
        </w:r>
        <w:r>
          <w:instrText xml:space="preserve"> PAGEREF _Toc491250102 \h </w:instrText>
        </w:r>
        <w:r>
          <w:fldChar w:fldCharType="separate"/>
        </w:r>
        <w:r>
          <w:t>13</w:t>
        </w:r>
        <w:r>
          <w:fldChar w:fldCharType="end"/>
        </w:r>
      </w:hyperlink>
    </w:p>
    <w:p w:rsidR="00E87AEA" w:rsidRDefault="006A25F0">
      <w:pPr>
        <w:pStyle w:val="affd"/>
      </w:pPr>
      <w:r>
        <w:fldChar w:fldCharType="end"/>
      </w:r>
    </w:p>
    <w:p w:rsidR="00E87AEA" w:rsidRDefault="006A25F0">
      <w:pPr>
        <w:pStyle w:val="afffffb"/>
      </w:pPr>
      <w:bookmarkStart w:id="20" w:name="_Toc491250091"/>
      <w:r>
        <w:rPr>
          <w:rFonts w:hint="eastAsia"/>
        </w:rPr>
        <w:lastRenderedPageBreak/>
        <w:t>前</w:t>
      </w:r>
      <w:bookmarkStart w:id="21" w:name="BKQY"/>
      <w:r>
        <w:rPr>
          <w:rFonts w:hAnsi="黑体"/>
        </w:rPr>
        <w:t>  </w:t>
      </w:r>
      <w:r>
        <w:rPr>
          <w:rFonts w:hint="eastAsia"/>
        </w:rPr>
        <w:t>言</w:t>
      </w:r>
      <w:bookmarkEnd w:id="20"/>
      <w:bookmarkEnd w:id="21"/>
    </w:p>
    <w:p w:rsidR="00E87AEA" w:rsidRDefault="006A25F0">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本标准按照</w:t>
      </w:r>
      <w:r>
        <w:rPr>
          <w:rFonts w:ascii="宋体" w:hint="eastAsia"/>
          <w:kern w:val="0"/>
          <w:szCs w:val="20"/>
        </w:rPr>
        <w:t xml:space="preserve"> GB/T1.1-2009 </w:t>
      </w:r>
      <w:r>
        <w:rPr>
          <w:rFonts w:ascii="宋体" w:hint="eastAsia"/>
          <w:kern w:val="0"/>
          <w:szCs w:val="20"/>
        </w:rPr>
        <w:t>给出的规则起草。</w:t>
      </w:r>
    </w:p>
    <w:p w:rsidR="00E87AEA" w:rsidRDefault="006A25F0">
      <w:pPr>
        <w:widowControl/>
        <w:tabs>
          <w:tab w:val="center" w:pos="4201"/>
          <w:tab w:val="right" w:leader="dot" w:pos="9298"/>
        </w:tabs>
        <w:autoSpaceDE w:val="0"/>
        <w:autoSpaceDN w:val="0"/>
        <w:ind w:firstLineChars="200" w:firstLine="420"/>
        <w:rPr>
          <w:rFonts w:ascii="宋体" w:hAnsi="宋体"/>
          <w:kern w:val="0"/>
          <w:szCs w:val="21"/>
        </w:rPr>
      </w:pPr>
      <w:r>
        <w:rPr>
          <w:rFonts w:ascii="宋体" w:hAnsi="宋体" w:hint="eastAsia"/>
          <w:kern w:val="0"/>
          <w:szCs w:val="21"/>
        </w:rPr>
        <w:t>本标准由中国石油和化学工业联合会提出。</w:t>
      </w:r>
    </w:p>
    <w:p w:rsidR="00E87AEA" w:rsidRDefault="006A25F0">
      <w:pPr>
        <w:widowControl/>
        <w:tabs>
          <w:tab w:val="center" w:pos="4201"/>
          <w:tab w:val="right" w:leader="dot" w:pos="9298"/>
        </w:tabs>
        <w:autoSpaceDE w:val="0"/>
        <w:autoSpaceDN w:val="0"/>
        <w:ind w:firstLineChars="200" w:firstLine="420"/>
        <w:rPr>
          <w:rFonts w:ascii="宋体" w:hAnsi="宋体"/>
          <w:kern w:val="0"/>
          <w:szCs w:val="21"/>
        </w:rPr>
      </w:pPr>
      <w:r>
        <w:rPr>
          <w:rFonts w:ascii="宋体" w:hAnsi="宋体" w:hint="eastAsia"/>
          <w:kern w:val="0"/>
          <w:szCs w:val="21"/>
        </w:rPr>
        <w:t>本标准由全国肥料和土壤调理剂标准化技术委员会</w:t>
      </w:r>
      <w:r>
        <w:rPr>
          <w:rFonts w:ascii="宋体" w:hAnsi="宋体" w:hint="eastAsia"/>
          <w:kern w:val="0"/>
          <w:szCs w:val="21"/>
        </w:rPr>
        <w:t>(SAC/TC105)</w:t>
      </w:r>
      <w:r>
        <w:rPr>
          <w:rFonts w:ascii="宋体" w:hAnsi="宋体" w:hint="eastAsia"/>
          <w:kern w:val="0"/>
          <w:szCs w:val="21"/>
        </w:rPr>
        <w:t>归口。</w:t>
      </w:r>
    </w:p>
    <w:p w:rsidR="00E87AEA" w:rsidRDefault="006A25F0">
      <w:pPr>
        <w:widowControl/>
        <w:tabs>
          <w:tab w:val="center" w:pos="4201"/>
          <w:tab w:val="right" w:leader="dot" w:pos="9298"/>
        </w:tabs>
        <w:autoSpaceDE w:val="0"/>
        <w:autoSpaceDN w:val="0"/>
        <w:ind w:firstLineChars="200" w:firstLine="420"/>
        <w:rPr>
          <w:rFonts w:ascii="宋体" w:hAnsi="宋体"/>
          <w:kern w:val="0"/>
          <w:szCs w:val="21"/>
        </w:rPr>
      </w:pPr>
      <w:r>
        <w:rPr>
          <w:rFonts w:ascii="宋体" w:hAnsi="宋体" w:hint="eastAsia"/>
          <w:kern w:val="0"/>
          <w:szCs w:val="21"/>
        </w:rPr>
        <w:t>本标准主要起草单位：安徽帝元生物科技有限公司、安徽省质量和标准化研究院、中国科学院合肥物质科学研究院技术生物与农业工程研究所、安徽六国化工股份有限公司、湖北新洋丰肥业股份有限公司、云南云天化股份有限公司、鲁西化工集团股份有限公司。</w:t>
      </w:r>
    </w:p>
    <w:p w:rsidR="00E87AEA" w:rsidRDefault="006A25F0">
      <w:pPr>
        <w:widowControl/>
        <w:tabs>
          <w:tab w:val="center" w:pos="4201"/>
          <w:tab w:val="right" w:leader="dot" w:pos="9298"/>
        </w:tabs>
        <w:autoSpaceDE w:val="0"/>
        <w:autoSpaceDN w:val="0"/>
        <w:ind w:firstLineChars="200" w:firstLine="420"/>
        <w:rPr>
          <w:rFonts w:ascii="宋体" w:hAnsi="宋体"/>
          <w:kern w:val="0"/>
          <w:szCs w:val="21"/>
        </w:rPr>
      </w:pPr>
      <w:r>
        <w:rPr>
          <w:rFonts w:ascii="宋体" w:hAnsi="宋体" w:hint="eastAsia"/>
          <w:kern w:val="0"/>
          <w:szCs w:val="21"/>
        </w:rPr>
        <w:t>本标准主要起草人：</w:t>
      </w:r>
      <w:r>
        <w:rPr>
          <w:rFonts w:ascii="宋体" w:hAnsi="宋体" w:hint="eastAsia"/>
          <w:kern w:val="0"/>
          <w:szCs w:val="21"/>
        </w:rPr>
        <w:t xml:space="preserve"> </w:t>
      </w:r>
    </w:p>
    <w:p w:rsidR="00E87AEA" w:rsidRDefault="006A25F0">
      <w:pPr>
        <w:pStyle w:val="affd"/>
      </w:pPr>
      <w:r>
        <w:rPr>
          <w:rFonts w:hint="eastAsia"/>
        </w:rPr>
        <w:t>本标准为首次发布。</w:t>
      </w:r>
    </w:p>
    <w:p w:rsidR="00E87AEA" w:rsidRDefault="00E87AEA">
      <w:pPr>
        <w:pStyle w:val="affd"/>
        <w:sectPr w:rsidR="00E87AEA">
          <w:headerReference w:type="default" r:id="rId10"/>
          <w:footerReference w:type="default" r:id="rId11"/>
          <w:pgSz w:w="11906" w:h="16838"/>
          <w:pgMar w:top="567" w:right="1134" w:bottom="1134" w:left="1418" w:header="1418" w:footer="1134" w:gutter="0"/>
          <w:pgNumType w:fmt="upperRoman" w:start="1"/>
          <w:cols w:space="425"/>
          <w:formProt w:val="0"/>
          <w:docGrid w:type="lines" w:linePitch="312"/>
        </w:sectPr>
      </w:pPr>
    </w:p>
    <w:p w:rsidR="00E87AEA" w:rsidRDefault="006A25F0">
      <w:pPr>
        <w:pStyle w:val="afff8"/>
      </w:pPr>
      <w:r>
        <w:rPr>
          <w:rFonts w:hint="eastAsia"/>
        </w:rPr>
        <w:lastRenderedPageBreak/>
        <w:t>保</w:t>
      </w:r>
      <w:bookmarkStart w:id="22" w:name="StandardName"/>
      <w:r>
        <w:rPr>
          <w:rFonts w:hint="eastAsia"/>
        </w:rPr>
        <w:t>持性肥料</w:t>
      </w:r>
      <w:bookmarkEnd w:id="22"/>
    </w:p>
    <w:p w:rsidR="00E87AEA" w:rsidRDefault="006A25F0">
      <w:pPr>
        <w:pStyle w:val="a4"/>
      </w:pPr>
      <w:bookmarkStart w:id="23" w:name="_Toc491250092"/>
      <w:r>
        <w:rPr>
          <w:rFonts w:hint="eastAsia"/>
        </w:rPr>
        <w:t>范围</w:t>
      </w:r>
      <w:bookmarkEnd w:id="23"/>
    </w:p>
    <w:p w:rsidR="00E87AEA" w:rsidRDefault="006A25F0">
      <w:pPr>
        <w:pStyle w:val="affd"/>
      </w:pPr>
      <w:r>
        <w:rPr>
          <w:rFonts w:hint="eastAsia"/>
        </w:rPr>
        <w:t>本标准规定了保持性肥料的术语和定义、要求、试验方法、检测规则、标识、包装、运输和贮存。</w:t>
      </w:r>
    </w:p>
    <w:p w:rsidR="00E87AEA" w:rsidRDefault="006A25F0">
      <w:pPr>
        <w:pStyle w:val="affd"/>
      </w:pPr>
      <w:r>
        <w:rPr>
          <w:rFonts w:hint="eastAsia"/>
        </w:rPr>
        <w:t>本标准适用于以化肥养分保持剂、</w:t>
      </w:r>
      <w:r>
        <w:rPr>
          <w:rFonts w:hint="eastAsia"/>
        </w:rPr>
        <w:t>尿素、氮、磷、钾为原料生产的的保持性尿素、保持性复合肥料、保持性磷酸二铵、保持性掺混肥料。</w:t>
      </w:r>
    </w:p>
    <w:p w:rsidR="00E87AEA" w:rsidRDefault="006A25F0">
      <w:pPr>
        <w:pStyle w:val="a4"/>
      </w:pPr>
      <w:bookmarkStart w:id="24" w:name="_Toc491250093"/>
      <w:r>
        <w:rPr>
          <w:rFonts w:hint="eastAsia"/>
        </w:rPr>
        <w:t>规范性引用文件</w:t>
      </w:r>
      <w:bookmarkEnd w:id="24"/>
    </w:p>
    <w:p w:rsidR="00E87AEA" w:rsidRDefault="006A25F0">
      <w:pPr>
        <w:pStyle w:val="affd"/>
      </w:pPr>
      <w:r>
        <w:rPr>
          <w:rFonts w:hint="eastAsia"/>
        </w:rPr>
        <w:t>下列文件对于本文件的应用是必不可少的。凡是注日期的引用文件，仅所注日期的版本适用于本文件。凡是不注日期的引用文件，其最</w:t>
      </w:r>
      <w:r>
        <w:rPr>
          <w:rFonts w:hint="eastAsia"/>
        </w:rPr>
        <w:t>新版本（包括所有的修改单）适用于本文件。</w:t>
      </w:r>
    </w:p>
    <w:p w:rsidR="00E87AEA" w:rsidRDefault="006A25F0">
      <w:pPr>
        <w:pStyle w:val="affd"/>
      </w:pPr>
      <w:r>
        <w:rPr>
          <w:rFonts w:hint="eastAsia"/>
        </w:rPr>
        <w:t xml:space="preserve">GB 2440-2001  </w:t>
      </w:r>
      <w:r>
        <w:rPr>
          <w:rFonts w:hint="eastAsia"/>
        </w:rPr>
        <w:t>尿素</w:t>
      </w:r>
    </w:p>
    <w:p w:rsidR="00E87AEA" w:rsidRDefault="006A25F0">
      <w:pPr>
        <w:pStyle w:val="affd"/>
      </w:pPr>
      <w:r>
        <w:rPr>
          <w:rFonts w:hint="eastAsia"/>
        </w:rPr>
        <w:t>GB</w:t>
      </w:r>
      <w:r>
        <w:t>/T</w:t>
      </w:r>
      <w:r>
        <w:rPr>
          <w:rFonts w:hint="eastAsia"/>
        </w:rPr>
        <w:t xml:space="preserve"> 2441.1  </w:t>
      </w:r>
      <w:r>
        <w:rPr>
          <w:rFonts w:hint="eastAsia"/>
        </w:rPr>
        <w:t>尿素的测定方法</w:t>
      </w:r>
      <w:r>
        <w:rPr>
          <w:rFonts w:hint="eastAsia"/>
        </w:rPr>
        <w:t xml:space="preserve">  </w:t>
      </w:r>
      <w:r>
        <w:rPr>
          <w:rFonts w:hint="eastAsia"/>
        </w:rPr>
        <w:t>第</w:t>
      </w:r>
      <w:r>
        <w:rPr>
          <w:rFonts w:hint="eastAsia"/>
        </w:rPr>
        <w:t>1</w:t>
      </w:r>
      <w:r>
        <w:rPr>
          <w:rFonts w:hint="eastAsia"/>
        </w:rPr>
        <w:t>部分：总氮含量</w:t>
      </w:r>
    </w:p>
    <w:p w:rsidR="00E87AEA" w:rsidRDefault="006A25F0">
      <w:pPr>
        <w:pStyle w:val="affd"/>
      </w:pPr>
      <w:r>
        <w:rPr>
          <w:rFonts w:hint="eastAsia"/>
        </w:rPr>
        <w:t>GB/T</w:t>
      </w:r>
      <w:r>
        <w:t xml:space="preserve"> </w:t>
      </w:r>
      <w:r>
        <w:rPr>
          <w:rFonts w:hint="eastAsia"/>
        </w:rPr>
        <w:t xml:space="preserve">6003.1-2012  </w:t>
      </w:r>
      <w:r>
        <w:rPr>
          <w:rFonts w:hint="eastAsia"/>
        </w:rPr>
        <w:t>试验筛</w:t>
      </w:r>
      <w:r>
        <w:t xml:space="preserve"> </w:t>
      </w:r>
      <w:r>
        <w:rPr>
          <w:rFonts w:hint="eastAsia"/>
        </w:rPr>
        <w:t>技术要求和检验</w:t>
      </w:r>
      <w:r>
        <w:t xml:space="preserve"> </w:t>
      </w:r>
      <w:r>
        <w:rPr>
          <w:rFonts w:hint="eastAsia"/>
        </w:rPr>
        <w:t>第</w:t>
      </w:r>
      <w:r>
        <w:rPr>
          <w:rFonts w:hint="eastAsia"/>
        </w:rPr>
        <w:t>1</w:t>
      </w:r>
      <w:r>
        <w:rPr>
          <w:rFonts w:hint="eastAsia"/>
        </w:rPr>
        <w:t>部分</w:t>
      </w:r>
      <w:r>
        <w:rPr>
          <w:rFonts w:hint="eastAsia"/>
        </w:rPr>
        <w:t>:</w:t>
      </w:r>
      <w:r>
        <w:rPr>
          <w:rFonts w:hint="eastAsia"/>
        </w:rPr>
        <w:t>金属丝编织网试验筛</w:t>
      </w:r>
    </w:p>
    <w:p w:rsidR="00E87AEA" w:rsidRDefault="006A25F0">
      <w:pPr>
        <w:pStyle w:val="affd"/>
      </w:pPr>
      <w:r>
        <w:rPr>
          <w:rFonts w:hint="eastAsia"/>
        </w:rPr>
        <w:t xml:space="preserve">GB/T 6274  </w:t>
      </w:r>
      <w:r>
        <w:rPr>
          <w:rFonts w:hint="eastAsia"/>
        </w:rPr>
        <w:t>肥料和土壤调理剂术语</w:t>
      </w:r>
    </w:p>
    <w:p w:rsidR="00E87AEA" w:rsidRDefault="006A25F0">
      <w:pPr>
        <w:pStyle w:val="affd"/>
      </w:pPr>
      <w:r>
        <w:rPr>
          <w:rFonts w:hint="eastAsia"/>
        </w:rPr>
        <w:t xml:space="preserve">GB/T 6679  </w:t>
      </w:r>
      <w:r>
        <w:rPr>
          <w:rFonts w:hint="eastAsia"/>
        </w:rPr>
        <w:t>固体化工产品采样通则</w:t>
      </w:r>
    </w:p>
    <w:p w:rsidR="00E87AEA" w:rsidRDefault="006A25F0">
      <w:pPr>
        <w:pStyle w:val="affd"/>
      </w:pPr>
      <w:r>
        <w:rPr>
          <w:rFonts w:hint="eastAsia"/>
        </w:rPr>
        <w:t xml:space="preserve">GB/T 6682  </w:t>
      </w:r>
      <w:r>
        <w:rPr>
          <w:rFonts w:hint="eastAsia"/>
        </w:rPr>
        <w:t>分析实验室用水规格和试验方法</w:t>
      </w:r>
    </w:p>
    <w:p w:rsidR="00E87AEA" w:rsidRDefault="006A25F0">
      <w:pPr>
        <w:pStyle w:val="affd"/>
      </w:pPr>
      <w:r>
        <w:rPr>
          <w:rFonts w:hint="eastAsia"/>
        </w:rPr>
        <w:t xml:space="preserve">GB/T 8170  </w:t>
      </w:r>
      <w:r>
        <w:rPr>
          <w:rFonts w:hint="eastAsia"/>
        </w:rPr>
        <w:t>数值修约规则与极限数值的表示和判定</w:t>
      </w:r>
    </w:p>
    <w:p w:rsidR="00E87AEA" w:rsidRDefault="006A25F0">
      <w:pPr>
        <w:pStyle w:val="affd"/>
      </w:pPr>
      <w:r>
        <w:rPr>
          <w:rFonts w:hint="eastAsia"/>
        </w:rPr>
        <w:t>GB</w:t>
      </w:r>
      <w:r>
        <w:t>/T</w:t>
      </w:r>
      <w:r>
        <w:rPr>
          <w:rFonts w:hint="eastAsia"/>
        </w:rPr>
        <w:t xml:space="preserve"> 8569</w:t>
      </w:r>
      <w:r>
        <w:t>-2009</w:t>
      </w:r>
      <w:r>
        <w:rPr>
          <w:rFonts w:hint="eastAsia"/>
        </w:rPr>
        <w:t xml:space="preserve">  </w:t>
      </w:r>
      <w:r>
        <w:rPr>
          <w:rFonts w:hint="eastAsia"/>
        </w:rPr>
        <w:t>固体化学肥料包装</w:t>
      </w:r>
    </w:p>
    <w:p w:rsidR="00E87AEA" w:rsidRDefault="006A25F0">
      <w:pPr>
        <w:pStyle w:val="affd"/>
      </w:pPr>
      <w:r>
        <w:rPr>
          <w:rFonts w:hint="eastAsia"/>
        </w:rPr>
        <w:t xml:space="preserve">GB/T 8572-2010  </w:t>
      </w:r>
      <w:r>
        <w:rPr>
          <w:rFonts w:hint="eastAsia"/>
        </w:rPr>
        <w:t>复</w:t>
      </w:r>
      <w:r>
        <w:rPr>
          <w:rFonts w:hint="eastAsia"/>
        </w:rPr>
        <w:t>混肥料中总氮含量测定</w:t>
      </w:r>
      <w:r>
        <w:rPr>
          <w:rFonts w:hint="eastAsia"/>
        </w:rPr>
        <w:t xml:space="preserve">  </w:t>
      </w:r>
      <w:r>
        <w:rPr>
          <w:rFonts w:hint="eastAsia"/>
        </w:rPr>
        <w:t>蒸馏后测定法</w:t>
      </w:r>
    </w:p>
    <w:p w:rsidR="00E87AEA" w:rsidRDefault="006A25F0">
      <w:pPr>
        <w:pStyle w:val="affd"/>
      </w:pPr>
      <w:r>
        <w:rPr>
          <w:rFonts w:hint="eastAsia"/>
        </w:rPr>
        <w:t xml:space="preserve">GB/T 8573  </w:t>
      </w:r>
      <w:r>
        <w:rPr>
          <w:rFonts w:hint="eastAsia"/>
        </w:rPr>
        <w:t>复混肥中水溶磷含量测定</w:t>
      </w:r>
    </w:p>
    <w:p w:rsidR="00E87AEA" w:rsidRDefault="006A25F0">
      <w:pPr>
        <w:pStyle w:val="affd"/>
      </w:pPr>
      <w:r>
        <w:rPr>
          <w:rFonts w:hint="eastAsia"/>
        </w:rPr>
        <w:t xml:space="preserve">GB/T 8574  </w:t>
      </w:r>
      <w:r>
        <w:rPr>
          <w:rFonts w:hint="eastAsia"/>
        </w:rPr>
        <w:t>复混肥料中钾含量测定</w:t>
      </w:r>
      <w:r>
        <w:rPr>
          <w:rFonts w:hint="eastAsia"/>
        </w:rPr>
        <w:t xml:space="preserve">  </w:t>
      </w:r>
      <w:r>
        <w:rPr>
          <w:rFonts w:hint="eastAsia"/>
        </w:rPr>
        <w:t>四苯硼酸钾重量法</w:t>
      </w:r>
    </w:p>
    <w:p w:rsidR="00E87AEA" w:rsidRDefault="006A25F0">
      <w:pPr>
        <w:pStyle w:val="affd"/>
      </w:pPr>
      <w:r>
        <w:rPr>
          <w:rFonts w:hint="eastAsia"/>
        </w:rPr>
        <w:t xml:space="preserve">GB/T 10205-2009  </w:t>
      </w:r>
      <w:r>
        <w:rPr>
          <w:rFonts w:hint="eastAsia"/>
        </w:rPr>
        <w:t>磷酸一铵、磷酸二铵</w:t>
      </w:r>
    </w:p>
    <w:p w:rsidR="00E87AEA" w:rsidRDefault="006A25F0">
      <w:pPr>
        <w:widowControl/>
        <w:tabs>
          <w:tab w:val="center" w:pos="4201"/>
          <w:tab w:val="right" w:leader="dot" w:pos="9298"/>
        </w:tabs>
        <w:autoSpaceDE w:val="0"/>
        <w:autoSpaceDN w:val="0"/>
        <w:ind w:firstLineChars="200" w:firstLine="420"/>
        <w:rPr>
          <w:rFonts w:ascii="宋体"/>
          <w:kern w:val="0"/>
          <w:szCs w:val="21"/>
        </w:rPr>
      </w:pPr>
      <w:r>
        <w:rPr>
          <w:rFonts w:ascii="宋体" w:hint="eastAsia"/>
          <w:kern w:val="0"/>
          <w:szCs w:val="21"/>
        </w:rPr>
        <w:t xml:space="preserve">GB/T 10209.1  </w:t>
      </w:r>
      <w:r>
        <w:rPr>
          <w:rFonts w:ascii="宋体" w:hint="eastAsia"/>
          <w:kern w:val="0"/>
          <w:szCs w:val="21"/>
        </w:rPr>
        <w:t>磷酸一铵、磷酸二铵的测定方法</w:t>
      </w:r>
      <w:r>
        <w:rPr>
          <w:rFonts w:ascii="宋体" w:hint="eastAsia"/>
          <w:kern w:val="0"/>
          <w:szCs w:val="21"/>
        </w:rPr>
        <w:t xml:space="preserve"> </w:t>
      </w:r>
      <w:r>
        <w:rPr>
          <w:rFonts w:ascii="宋体" w:hint="eastAsia"/>
          <w:kern w:val="0"/>
          <w:szCs w:val="21"/>
        </w:rPr>
        <w:t>第</w:t>
      </w:r>
      <w:r>
        <w:rPr>
          <w:rFonts w:ascii="宋体" w:hint="eastAsia"/>
          <w:kern w:val="0"/>
          <w:szCs w:val="21"/>
        </w:rPr>
        <w:t>1</w:t>
      </w:r>
      <w:r>
        <w:rPr>
          <w:rFonts w:ascii="宋体" w:hint="eastAsia"/>
          <w:kern w:val="0"/>
          <w:szCs w:val="21"/>
        </w:rPr>
        <w:t>部分：总氮含量</w:t>
      </w:r>
    </w:p>
    <w:p w:rsidR="00E87AEA" w:rsidRDefault="006A25F0">
      <w:pPr>
        <w:widowControl/>
        <w:tabs>
          <w:tab w:val="center" w:pos="4201"/>
          <w:tab w:val="right" w:leader="dot" w:pos="9298"/>
        </w:tabs>
        <w:autoSpaceDE w:val="0"/>
        <w:autoSpaceDN w:val="0"/>
        <w:ind w:firstLineChars="200" w:firstLine="420"/>
        <w:rPr>
          <w:rFonts w:ascii="宋体"/>
          <w:kern w:val="0"/>
          <w:szCs w:val="21"/>
        </w:rPr>
      </w:pPr>
      <w:r>
        <w:rPr>
          <w:rFonts w:ascii="宋体" w:hint="eastAsia"/>
          <w:kern w:val="0"/>
          <w:szCs w:val="21"/>
        </w:rPr>
        <w:t xml:space="preserve">GB/T 10209.2  </w:t>
      </w:r>
      <w:r>
        <w:rPr>
          <w:rFonts w:ascii="宋体" w:hint="eastAsia"/>
          <w:kern w:val="0"/>
          <w:szCs w:val="21"/>
        </w:rPr>
        <w:t>磷酸一铵、磷酸二铵的测定方法</w:t>
      </w:r>
      <w:r>
        <w:rPr>
          <w:rFonts w:ascii="宋体" w:hint="eastAsia"/>
          <w:kern w:val="0"/>
          <w:szCs w:val="21"/>
        </w:rPr>
        <w:t xml:space="preserve"> </w:t>
      </w:r>
      <w:r>
        <w:rPr>
          <w:rFonts w:ascii="宋体" w:hint="eastAsia"/>
          <w:kern w:val="0"/>
          <w:szCs w:val="21"/>
        </w:rPr>
        <w:t>第</w:t>
      </w:r>
      <w:r>
        <w:rPr>
          <w:rFonts w:ascii="宋体" w:hint="eastAsia"/>
          <w:kern w:val="0"/>
          <w:szCs w:val="21"/>
        </w:rPr>
        <w:t>2</w:t>
      </w:r>
      <w:r>
        <w:rPr>
          <w:rFonts w:ascii="宋体" w:hint="eastAsia"/>
          <w:kern w:val="0"/>
          <w:szCs w:val="21"/>
        </w:rPr>
        <w:t>部分：磷含量</w:t>
      </w:r>
    </w:p>
    <w:p w:rsidR="00E87AEA" w:rsidRDefault="006A25F0">
      <w:pPr>
        <w:widowControl/>
        <w:tabs>
          <w:tab w:val="center" w:pos="4201"/>
          <w:tab w:val="right" w:leader="dot" w:pos="9298"/>
        </w:tabs>
        <w:autoSpaceDE w:val="0"/>
        <w:autoSpaceDN w:val="0"/>
        <w:ind w:firstLineChars="200" w:firstLine="420"/>
        <w:rPr>
          <w:rFonts w:ascii="宋体"/>
          <w:kern w:val="0"/>
          <w:szCs w:val="21"/>
        </w:rPr>
      </w:pPr>
      <w:r>
        <w:rPr>
          <w:rFonts w:ascii="宋体" w:hint="eastAsia"/>
          <w:kern w:val="0"/>
          <w:szCs w:val="21"/>
        </w:rPr>
        <w:t xml:space="preserve">GB T 10209.3  </w:t>
      </w:r>
      <w:r>
        <w:rPr>
          <w:rFonts w:ascii="宋体" w:hint="eastAsia"/>
          <w:kern w:val="0"/>
          <w:szCs w:val="21"/>
        </w:rPr>
        <w:t>磷酸一铵、磷酸二铵的测定方法</w:t>
      </w:r>
    </w:p>
    <w:p w:rsidR="00E87AEA" w:rsidRDefault="006A25F0">
      <w:pPr>
        <w:pStyle w:val="affd"/>
      </w:pPr>
      <w:r>
        <w:rPr>
          <w:rFonts w:hint="eastAsia"/>
        </w:rPr>
        <w:t xml:space="preserve">GB/T 15063-2009  </w:t>
      </w:r>
      <w:r>
        <w:rPr>
          <w:rFonts w:hint="eastAsia"/>
        </w:rPr>
        <w:t>复混肥料（复合肥料）</w:t>
      </w:r>
    </w:p>
    <w:p w:rsidR="00E87AEA" w:rsidRDefault="006A25F0">
      <w:pPr>
        <w:pStyle w:val="affd"/>
      </w:pPr>
      <w:r>
        <w:rPr>
          <w:rFonts w:hint="eastAsia"/>
        </w:rPr>
        <w:t xml:space="preserve">GB 18382  </w:t>
      </w:r>
      <w:r>
        <w:rPr>
          <w:rFonts w:hint="eastAsia"/>
        </w:rPr>
        <w:t>肥料标识</w:t>
      </w:r>
      <w:r>
        <w:rPr>
          <w:rFonts w:hint="eastAsia"/>
        </w:rPr>
        <w:t xml:space="preserve"> </w:t>
      </w:r>
      <w:r>
        <w:rPr>
          <w:rFonts w:hint="eastAsia"/>
        </w:rPr>
        <w:t>内容和要求</w:t>
      </w:r>
    </w:p>
    <w:p w:rsidR="00E87AEA" w:rsidRDefault="006A25F0">
      <w:pPr>
        <w:pStyle w:val="affd"/>
      </w:pPr>
      <w:r>
        <w:t>GB/T</w:t>
      </w:r>
      <w:r>
        <w:t> </w:t>
      </w:r>
      <w:r>
        <w:t xml:space="preserve"> 21633</w:t>
      </w:r>
      <w:r>
        <w:rPr>
          <w:rFonts w:hint="eastAsia"/>
        </w:rPr>
        <w:t xml:space="preserve">-2008  </w:t>
      </w:r>
      <w:r>
        <w:t>掺混肥料</w:t>
      </w:r>
    </w:p>
    <w:p w:rsidR="00E87AEA" w:rsidRDefault="006A25F0">
      <w:pPr>
        <w:pStyle w:val="affd"/>
      </w:pPr>
      <w:r>
        <w:rPr>
          <w:rFonts w:hint="eastAsia"/>
        </w:rPr>
        <w:t xml:space="preserve">HG/T 2843  </w:t>
      </w:r>
      <w:r>
        <w:rPr>
          <w:rFonts w:hint="eastAsia"/>
        </w:rPr>
        <w:t>化肥产品</w:t>
      </w:r>
      <w:r>
        <w:rPr>
          <w:rFonts w:hint="eastAsia"/>
        </w:rPr>
        <w:t xml:space="preserve">  </w:t>
      </w:r>
      <w:r>
        <w:rPr>
          <w:rFonts w:hint="eastAsia"/>
        </w:rPr>
        <w:t>化学分析中常用标准滴定溶液、标准溶液、试剂溶液和指示剂溶液</w:t>
      </w:r>
    </w:p>
    <w:p w:rsidR="00E87AEA" w:rsidRDefault="006A25F0">
      <w:pPr>
        <w:pStyle w:val="a4"/>
      </w:pPr>
      <w:bookmarkStart w:id="25" w:name="_Toc491250094"/>
      <w:r>
        <w:rPr>
          <w:rFonts w:hint="eastAsia"/>
        </w:rPr>
        <w:t>术语和定义</w:t>
      </w:r>
      <w:bookmarkEnd w:id="25"/>
    </w:p>
    <w:p w:rsidR="00E87AEA" w:rsidRDefault="006A25F0">
      <w:pPr>
        <w:pStyle w:val="affd"/>
      </w:pPr>
      <w:r>
        <w:rPr>
          <w:rFonts w:ascii="Times New Roman"/>
        </w:rPr>
        <w:t>GB/T 6274</w:t>
      </w:r>
      <w:r>
        <w:rPr>
          <w:rFonts w:hint="eastAsia"/>
        </w:rPr>
        <w:t xml:space="preserve"> </w:t>
      </w:r>
      <w:r>
        <w:rPr>
          <w:rFonts w:hint="eastAsia"/>
        </w:rPr>
        <w:t>界定的及下列术语和定义适用于本文件。</w:t>
      </w:r>
    </w:p>
    <w:p w:rsidR="00E87AEA" w:rsidRDefault="00E87AEA">
      <w:pPr>
        <w:pStyle w:val="a5"/>
        <w:ind w:left="0"/>
      </w:pPr>
    </w:p>
    <w:p w:rsidR="00E87AEA" w:rsidRDefault="006A25F0">
      <w:pPr>
        <w:pStyle w:val="a5"/>
        <w:numPr>
          <w:ilvl w:val="0"/>
          <w:numId w:val="0"/>
        </w:numPr>
        <w:ind w:firstLineChars="200" w:firstLine="420"/>
      </w:pPr>
      <w:r>
        <w:rPr>
          <w:rFonts w:hint="eastAsia"/>
        </w:rPr>
        <w:t>化肥养分保持剂</w:t>
      </w:r>
      <w:r>
        <w:rPr>
          <w:rFonts w:ascii="Times New Roman"/>
        </w:rPr>
        <w:t>nutrient-retaining</w:t>
      </w:r>
      <w:r>
        <w:rPr>
          <w:rFonts w:ascii="Times New Roman"/>
          <w:sz w:val="28"/>
          <w:szCs w:val="28"/>
        </w:rPr>
        <w:t xml:space="preserve"> </w:t>
      </w:r>
      <w:r>
        <w:rPr>
          <w:rFonts w:ascii="Times New Roman"/>
        </w:rPr>
        <w:t xml:space="preserve">agent </w:t>
      </w:r>
    </w:p>
    <w:p w:rsidR="00E87AEA" w:rsidRDefault="006A25F0">
      <w:pPr>
        <w:pStyle w:val="affd"/>
      </w:pPr>
      <w:r>
        <w:rPr>
          <w:rFonts w:hint="eastAsia"/>
        </w:rPr>
        <w:t>以多种天然矿物为原料，通过物理</w:t>
      </w:r>
      <w:r>
        <w:rPr>
          <w:rFonts w:hint="eastAsia"/>
        </w:rPr>
        <w:t>改性并与</w:t>
      </w:r>
      <w:r>
        <w:rPr>
          <w:rFonts w:hint="eastAsia"/>
        </w:rPr>
        <w:t>生物、有机制品科学精准</w:t>
      </w:r>
      <w:r>
        <w:rPr>
          <w:rFonts w:hint="eastAsia"/>
        </w:rPr>
        <w:t>复配</w:t>
      </w:r>
      <w:r>
        <w:rPr>
          <w:rFonts w:hint="eastAsia"/>
        </w:rPr>
        <w:t>而成的粉体制剂。</w:t>
      </w:r>
    </w:p>
    <w:p w:rsidR="00E87AEA" w:rsidRDefault="00E87AEA">
      <w:pPr>
        <w:pStyle w:val="a5"/>
        <w:ind w:left="0"/>
      </w:pPr>
    </w:p>
    <w:p w:rsidR="00E87AEA" w:rsidRDefault="006A25F0">
      <w:pPr>
        <w:pStyle w:val="a5"/>
        <w:numPr>
          <w:ilvl w:val="0"/>
          <w:numId w:val="0"/>
        </w:numPr>
        <w:ind w:firstLineChars="200" w:firstLine="420"/>
      </w:pPr>
      <w:r>
        <w:rPr>
          <w:rFonts w:hint="eastAsia"/>
        </w:rPr>
        <w:t>保持性肥料</w:t>
      </w:r>
      <w:r>
        <w:rPr>
          <w:rFonts w:hint="eastAsia"/>
        </w:rPr>
        <w:t xml:space="preserve"> </w:t>
      </w:r>
      <w:r>
        <w:rPr>
          <w:rFonts w:ascii="Times New Roman"/>
        </w:rPr>
        <w:t>nutrient-</w:t>
      </w:r>
      <w:r>
        <w:rPr>
          <w:rFonts w:ascii="Times New Roman" w:hint="eastAsia"/>
        </w:rPr>
        <w:t>retaining fertilizer</w:t>
      </w:r>
    </w:p>
    <w:p w:rsidR="00E87AEA" w:rsidRDefault="006A25F0">
      <w:pPr>
        <w:pStyle w:val="affd"/>
      </w:pPr>
      <w:r>
        <w:rPr>
          <w:rFonts w:hint="eastAsia"/>
        </w:rPr>
        <w:t>通过在普通肥料生产中添加化肥养分保持剂，制成的养分流失少、肥</w:t>
      </w:r>
      <w:r>
        <w:rPr>
          <w:rFonts w:hint="eastAsia"/>
        </w:rPr>
        <w:t>效期长、利用率高</w:t>
      </w:r>
      <w:r>
        <w:t>的</w:t>
      </w:r>
      <w:r>
        <w:rPr>
          <w:rFonts w:hint="eastAsia"/>
        </w:rPr>
        <w:t>肥料。</w:t>
      </w:r>
    </w:p>
    <w:p w:rsidR="00E87AEA" w:rsidRDefault="00E87AEA">
      <w:pPr>
        <w:pStyle w:val="a5"/>
        <w:ind w:left="0"/>
      </w:pPr>
    </w:p>
    <w:p w:rsidR="00E87AEA" w:rsidRDefault="006A25F0">
      <w:pPr>
        <w:pStyle w:val="a5"/>
        <w:numPr>
          <w:ilvl w:val="0"/>
          <w:numId w:val="0"/>
        </w:numPr>
        <w:ind w:firstLineChars="200" w:firstLine="420"/>
      </w:pPr>
      <w:r>
        <w:rPr>
          <w:rFonts w:hint="eastAsia"/>
        </w:rPr>
        <w:t>养分保持率</w:t>
      </w:r>
      <w:r>
        <w:rPr>
          <w:rFonts w:hint="eastAsia"/>
        </w:rPr>
        <w:t xml:space="preserve"> </w:t>
      </w:r>
      <w:r>
        <w:rPr>
          <w:rFonts w:ascii="Times New Roman" w:hint="eastAsia"/>
        </w:rPr>
        <w:t>nutrient</w:t>
      </w:r>
      <w:r>
        <w:rPr>
          <w:rFonts w:ascii="Times New Roman" w:hint="eastAsia"/>
        </w:rPr>
        <w:t>-</w:t>
      </w:r>
      <w:r>
        <w:rPr>
          <w:rFonts w:ascii="Times New Roman" w:hint="eastAsia"/>
        </w:rPr>
        <w:t xml:space="preserve">retaining ratio </w:t>
      </w:r>
    </w:p>
    <w:p w:rsidR="00E87AEA" w:rsidRDefault="006A25F0">
      <w:pPr>
        <w:pStyle w:val="a5"/>
        <w:numPr>
          <w:ilvl w:val="0"/>
          <w:numId w:val="0"/>
        </w:numPr>
        <w:ind w:firstLineChars="200" w:firstLine="420"/>
        <w:rPr>
          <w:rFonts w:ascii="宋体" w:eastAsia="宋体"/>
          <w:szCs w:val="20"/>
        </w:rPr>
      </w:pPr>
      <w:r>
        <w:rPr>
          <w:rFonts w:ascii="宋体" w:eastAsia="宋体" w:hint="eastAsia"/>
          <w:szCs w:val="20"/>
        </w:rPr>
        <w:t>在模拟水流冲刷的情况下，保持性肥料在介质中存留养分含量与对照肥料存留养分含量之差占前者的百分比。</w:t>
      </w:r>
    </w:p>
    <w:p w:rsidR="00E87AEA" w:rsidRDefault="00E87AEA">
      <w:pPr>
        <w:pStyle w:val="a5"/>
        <w:ind w:left="0"/>
      </w:pPr>
    </w:p>
    <w:p w:rsidR="00E87AEA" w:rsidRDefault="006A25F0">
      <w:pPr>
        <w:pStyle w:val="a5"/>
        <w:numPr>
          <w:ilvl w:val="0"/>
          <w:numId w:val="0"/>
        </w:numPr>
        <w:ind w:firstLineChars="200" w:firstLine="420"/>
      </w:pPr>
      <w:r>
        <w:rPr>
          <w:rFonts w:cs="黑体" w:hint="eastAsia"/>
        </w:rPr>
        <w:t>氨挥发减少率</w:t>
      </w:r>
      <w:r>
        <w:rPr>
          <w:rFonts w:cs="黑体" w:hint="eastAsia"/>
        </w:rPr>
        <w:t xml:space="preserve"> </w:t>
      </w:r>
      <w:r>
        <w:rPr>
          <w:rFonts w:ascii="Times New Roman" w:hint="eastAsia"/>
        </w:rPr>
        <w:t>ammonia volatilization reduction ratio</w:t>
      </w:r>
    </w:p>
    <w:p w:rsidR="00E87AEA" w:rsidRDefault="006A25F0">
      <w:pPr>
        <w:ind w:firstLineChars="250" w:firstLine="525"/>
        <w:rPr>
          <w:rFonts w:cs="宋体"/>
        </w:rPr>
      </w:pPr>
      <w:r>
        <w:rPr>
          <w:rFonts w:ascii="宋体" w:hint="eastAsia"/>
          <w:szCs w:val="20"/>
        </w:rPr>
        <w:t>在一定时间内，</w:t>
      </w:r>
      <w:r>
        <w:rPr>
          <w:rFonts w:cs="宋体" w:hint="eastAsia"/>
        </w:rPr>
        <w:t>对照肥料氨挥发量与保持性肥料氨挥发量之差占前者的百分比。</w:t>
      </w:r>
    </w:p>
    <w:p w:rsidR="00E87AEA" w:rsidRDefault="006A25F0">
      <w:pPr>
        <w:pStyle w:val="a4"/>
      </w:pPr>
      <w:bookmarkStart w:id="26" w:name="_Toc491250095"/>
      <w:r>
        <w:rPr>
          <w:rFonts w:hint="eastAsia"/>
        </w:rPr>
        <w:t>要求</w:t>
      </w:r>
      <w:bookmarkEnd w:id="26"/>
    </w:p>
    <w:p w:rsidR="00E87AEA" w:rsidRDefault="006A25F0">
      <w:pPr>
        <w:pStyle w:val="affffff5"/>
        <w:ind w:left="0"/>
      </w:pPr>
      <w:r>
        <w:rPr>
          <w:rFonts w:hint="eastAsia"/>
        </w:rPr>
        <w:t>外观：颗粒状，无机械杂质。</w:t>
      </w:r>
    </w:p>
    <w:p w:rsidR="00E87AEA" w:rsidRDefault="006A25F0">
      <w:pPr>
        <w:pStyle w:val="affffff5"/>
        <w:ind w:left="0"/>
      </w:pPr>
      <w:r>
        <w:rPr>
          <w:rFonts w:hint="eastAsia"/>
        </w:rPr>
        <w:t>保持性肥料应符合下表的要求，同时应符合包装容器上的标明值。</w:t>
      </w:r>
    </w:p>
    <w:p w:rsidR="00E87AEA" w:rsidRDefault="006A25F0">
      <w:pPr>
        <w:pStyle w:val="affffff5"/>
        <w:numPr>
          <w:ilvl w:val="0"/>
          <w:numId w:val="0"/>
        </w:numPr>
      </w:pPr>
      <w:r>
        <w:rPr>
          <w:rFonts w:ascii="黑体" w:eastAsia="黑体" w:hAnsi="黑体" w:hint="eastAsia"/>
        </w:rPr>
        <w:t>4.2.1</w:t>
      </w:r>
      <w:r>
        <w:rPr>
          <w:rFonts w:ascii="黑体" w:eastAsia="黑体" w:hAnsi="黑体"/>
        </w:rPr>
        <w:t xml:space="preserve"> </w:t>
      </w:r>
      <w:r>
        <w:rPr>
          <w:rFonts w:hint="eastAsia"/>
        </w:rPr>
        <w:t>保持性尿素的要求应符合表</w:t>
      </w:r>
      <w:r>
        <w:rPr>
          <w:rFonts w:hint="eastAsia"/>
        </w:rPr>
        <w:t>1</w:t>
      </w:r>
      <w:r>
        <w:rPr>
          <w:rFonts w:hint="eastAsia"/>
        </w:rPr>
        <w:t>的规定。</w:t>
      </w:r>
    </w:p>
    <w:p w:rsidR="00E87AEA" w:rsidRDefault="006A25F0">
      <w:pPr>
        <w:pStyle w:val="af7"/>
        <w:tabs>
          <w:tab w:val="clear" w:pos="360"/>
          <w:tab w:val="left" w:pos="0"/>
        </w:tabs>
        <w:ind w:leftChars="-202" w:left="0" w:hangingChars="202" w:hanging="424"/>
      </w:pPr>
      <w:r>
        <w:rPr>
          <w:rFonts w:ascii="宋体" w:eastAsia="宋体" w:hAnsi="宋体" w:cs="宋体" w:hint="eastAsia"/>
        </w:rPr>
        <w:t>保持性尿素的要求</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8"/>
        <w:gridCol w:w="3682"/>
      </w:tblGrid>
      <w:tr w:rsidR="00E87AEA">
        <w:trPr>
          <w:trHeight w:val="319"/>
          <w:jc w:val="center"/>
        </w:trPr>
        <w:tc>
          <w:tcPr>
            <w:tcW w:w="5358" w:type="dxa"/>
            <w:vAlign w:val="center"/>
          </w:tcPr>
          <w:p w:rsidR="00E87AEA" w:rsidRDefault="006A25F0">
            <w:pPr>
              <w:pStyle w:val="affd"/>
              <w:widowControl w:val="0"/>
              <w:ind w:firstLineChars="0" w:firstLine="0"/>
              <w:jc w:val="center"/>
              <w:rPr>
                <w:sz w:val="18"/>
                <w:szCs w:val="18"/>
              </w:rPr>
            </w:pPr>
            <w:r>
              <w:rPr>
                <w:rFonts w:hint="eastAsia"/>
                <w:sz w:val="18"/>
                <w:szCs w:val="18"/>
              </w:rPr>
              <w:t>项目</w:t>
            </w:r>
          </w:p>
        </w:tc>
        <w:tc>
          <w:tcPr>
            <w:tcW w:w="3682" w:type="dxa"/>
            <w:vAlign w:val="center"/>
          </w:tcPr>
          <w:p w:rsidR="00E87AEA" w:rsidRDefault="006A25F0">
            <w:pPr>
              <w:pStyle w:val="affd"/>
              <w:widowControl w:val="0"/>
              <w:ind w:firstLineChars="0" w:firstLine="0"/>
              <w:jc w:val="center"/>
              <w:rPr>
                <w:sz w:val="18"/>
                <w:szCs w:val="18"/>
              </w:rPr>
            </w:pPr>
            <w:r>
              <w:rPr>
                <w:rFonts w:hint="eastAsia"/>
                <w:sz w:val="18"/>
                <w:szCs w:val="18"/>
              </w:rPr>
              <w:t>指标</w:t>
            </w:r>
          </w:p>
        </w:tc>
      </w:tr>
      <w:tr w:rsidR="00E87AEA">
        <w:trPr>
          <w:jc w:val="center"/>
        </w:trPr>
        <w:tc>
          <w:tcPr>
            <w:tcW w:w="5358" w:type="dxa"/>
          </w:tcPr>
          <w:p w:rsidR="00E87AEA" w:rsidRDefault="006A25F0">
            <w:pPr>
              <w:pStyle w:val="affd"/>
              <w:widowControl w:val="0"/>
              <w:ind w:firstLineChars="0" w:firstLine="0"/>
              <w:jc w:val="left"/>
              <w:rPr>
                <w:sz w:val="18"/>
                <w:szCs w:val="18"/>
              </w:rPr>
            </w:pPr>
            <w:r>
              <w:rPr>
                <w:rFonts w:hint="eastAsia"/>
                <w:sz w:val="18"/>
                <w:szCs w:val="18"/>
              </w:rPr>
              <w:t>总氮（</w:t>
            </w:r>
            <w:r>
              <w:rPr>
                <w:rFonts w:hint="eastAsia"/>
                <w:sz w:val="18"/>
                <w:szCs w:val="18"/>
              </w:rPr>
              <w:t>N</w:t>
            </w:r>
            <w:r>
              <w:rPr>
                <w:rFonts w:hint="eastAsia"/>
                <w:sz w:val="18"/>
                <w:szCs w:val="18"/>
              </w:rPr>
              <w:t>）的质量分数（以干基计）</w:t>
            </w:r>
            <w:r>
              <w:rPr>
                <w:rFonts w:hint="eastAsia"/>
                <w:sz w:val="18"/>
                <w:szCs w:val="18"/>
              </w:rPr>
              <w:t xml:space="preserve">/%                      </w:t>
            </w:r>
            <w:r>
              <w:rPr>
                <w:rFonts w:hint="eastAsia"/>
                <w:sz w:val="18"/>
                <w:szCs w:val="18"/>
              </w:rPr>
              <w:t>≥</w:t>
            </w:r>
          </w:p>
        </w:tc>
        <w:tc>
          <w:tcPr>
            <w:tcW w:w="3682" w:type="dxa"/>
          </w:tcPr>
          <w:p w:rsidR="00E87AEA" w:rsidRDefault="006A25F0">
            <w:pPr>
              <w:pStyle w:val="affd"/>
              <w:widowControl w:val="0"/>
              <w:ind w:firstLineChars="0" w:firstLine="0"/>
              <w:jc w:val="center"/>
              <w:rPr>
                <w:sz w:val="18"/>
                <w:szCs w:val="18"/>
              </w:rPr>
            </w:pPr>
            <w:r>
              <w:rPr>
                <w:rFonts w:hint="eastAsia"/>
                <w:sz w:val="18"/>
                <w:szCs w:val="18"/>
              </w:rPr>
              <w:t>45</w:t>
            </w:r>
          </w:p>
        </w:tc>
      </w:tr>
      <w:tr w:rsidR="00E87AEA">
        <w:trPr>
          <w:trHeight w:val="295"/>
          <w:jc w:val="center"/>
        </w:trPr>
        <w:tc>
          <w:tcPr>
            <w:tcW w:w="5358" w:type="dxa"/>
          </w:tcPr>
          <w:p w:rsidR="00E87AEA" w:rsidRDefault="006A25F0">
            <w:pPr>
              <w:pStyle w:val="affd"/>
              <w:widowControl w:val="0"/>
              <w:ind w:firstLineChars="0" w:firstLine="0"/>
              <w:jc w:val="left"/>
              <w:rPr>
                <w:sz w:val="18"/>
                <w:szCs w:val="18"/>
              </w:rPr>
            </w:pPr>
            <w:r>
              <w:rPr>
                <w:rFonts w:hint="eastAsia"/>
                <w:sz w:val="18"/>
                <w:szCs w:val="18"/>
              </w:rPr>
              <w:t>氨挥发减少率</w:t>
            </w:r>
            <w:r>
              <w:rPr>
                <w:rFonts w:hint="eastAsia"/>
                <w:sz w:val="18"/>
                <w:szCs w:val="18"/>
              </w:rPr>
              <w:t xml:space="preserve">/%                                         </w:t>
            </w:r>
            <w:r>
              <w:rPr>
                <w:rFonts w:hint="eastAsia"/>
                <w:sz w:val="18"/>
                <w:szCs w:val="18"/>
              </w:rPr>
              <w:t>≥</w:t>
            </w:r>
          </w:p>
        </w:tc>
        <w:tc>
          <w:tcPr>
            <w:tcW w:w="3682" w:type="dxa"/>
          </w:tcPr>
          <w:p w:rsidR="00E87AEA" w:rsidRDefault="006A25F0">
            <w:pPr>
              <w:pStyle w:val="affd"/>
              <w:widowControl w:val="0"/>
              <w:ind w:firstLineChars="0" w:firstLine="0"/>
              <w:jc w:val="center"/>
              <w:rPr>
                <w:color w:val="FF0000"/>
                <w:sz w:val="18"/>
                <w:szCs w:val="18"/>
              </w:rPr>
            </w:pPr>
            <w:r>
              <w:rPr>
                <w:rFonts w:hint="eastAsia"/>
                <w:sz w:val="18"/>
                <w:szCs w:val="18"/>
              </w:rPr>
              <w:t>1</w:t>
            </w:r>
            <w:r>
              <w:rPr>
                <w:rFonts w:hint="eastAsia"/>
                <w:sz w:val="18"/>
                <w:szCs w:val="18"/>
              </w:rPr>
              <w:t>5</w:t>
            </w:r>
          </w:p>
        </w:tc>
      </w:tr>
      <w:tr w:rsidR="00E87AEA">
        <w:trPr>
          <w:trHeight w:val="90"/>
          <w:jc w:val="center"/>
        </w:trPr>
        <w:tc>
          <w:tcPr>
            <w:tcW w:w="9040" w:type="dxa"/>
            <w:gridSpan w:val="2"/>
          </w:tcPr>
          <w:p w:rsidR="00E87AEA" w:rsidRDefault="006A25F0">
            <w:pPr>
              <w:pStyle w:val="afffb"/>
            </w:pPr>
            <w:r>
              <w:rPr>
                <w:rFonts w:hint="eastAsia"/>
              </w:rPr>
              <w:t>其他指标符合</w:t>
            </w:r>
            <w:r>
              <w:rPr>
                <w:rFonts w:hint="eastAsia"/>
              </w:rPr>
              <w:t xml:space="preserve"> GB 2440 </w:t>
            </w:r>
            <w:r>
              <w:rPr>
                <w:rFonts w:hint="eastAsia"/>
              </w:rPr>
              <w:t>的要求。</w:t>
            </w:r>
            <w:r>
              <w:rPr>
                <w:rFonts w:hint="eastAsia"/>
              </w:rPr>
              <w:t xml:space="preserve"> </w:t>
            </w:r>
          </w:p>
        </w:tc>
      </w:tr>
    </w:tbl>
    <w:p w:rsidR="00E87AEA" w:rsidRDefault="006A25F0">
      <w:pPr>
        <w:pStyle w:val="affd"/>
        <w:ind w:firstLineChars="0" w:firstLine="0"/>
      </w:pPr>
      <w:r>
        <w:rPr>
          <w:rFonts w:ascii="黑体" w:eastAsia="黑体" w:hAnsi="黑体" w:hint="eastAsia"/>
        </w:rPr>
        <w:t>4.2.2</w:t>
      </w:r>
      <w:r>
        <w:rPr>
          <w:rFonts w:ascii="黑体" w:eastAsia="黑体" w:hAnsi="黑体"/>
        </w:rPr>
        <w:t xml:space="preserve"> </w:t>
      </w:r>
      <w:r>
        <w:rPr>
          <w:rFonts w:hint="eastAsia"/>
        </w:rPr>
        <w:t>保持性磷酸二铵的要求应符合表</w:t>
      </w:r>
      <w:r>
        <w:rPr>
          <w:rFonts w:hint="eastAsia"/>
        </w:rPr>
        <w:t xml:space="preserve"> 2 </w:t>
      </w:r>
      <w:r>
        <w:rPr>
          <w:rFonts w:hint="eastAsia"/>
        </w:rPr>
        <w:t>的规定。</w:t>
      </w:r>
    </w:p>
    <w:p w:rsidR="00E87AEA" w:rsidRDefault="006A25F0">
      <w:pPr>
        <w:pStyle w:val="af7"/>
        <w:ind w:left="0"/>
      </w:pPr>
      <w:r>
        <w:rPr>
          <w:rFonts w:ascii="宋体" w:eastAsia="宋体" w:hAnsi="宋体" w:cs="宋体" w:hint="eastAsia"/>
        </w:rPr>
        <w:t>保持性磷酸二铵的要求</w:t>
      </w:r>
      <w:r>
        <w:rPr>
          <w:rFonts w:ascii="宋体" w:eastAsia="宋体" w:hAnsi="宋体" w:cs="宋体" w:hint="eastAsia"/>
        </w:rPr>
        <w:t xml:space="preserve">  </w:t>
      </w: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5"/>
        <w:gridCol w:w="3682"/>
      </w:tblGrid>
      <w:tr w:rsidR="00E87AEA">
        <w:trPr>
          <w:trHeight w:val="604"/>
          <w:jc w:val="center"/>
        </w:trPr>
        <w:tc>
          <w:tcPr>
            <w:tcW w:w="5335" w:type="dxa"/>
            <w:vAlign w:val="center"/>
          </w:tcPr>
          <w:p w:rsidR="00E87AEA" w:rsidRDefault="006A25F0">
            <w:pPr>
              <w:tabs>
                <w:tab w:val="center" w:pos="4201"/>
                <w:tab w:val="right" w:leader="dot" w:pos="9298"/>
              </w:tabs>
              <w:autoSpaceDE w:val="0"/>
              <w:autoSpaceDN w:val="0"/>
              <w:jc w:val="center"/>
              <w:rPr>
                <w:rFonts w:ascii="宋体"/>
                <w:kern w:val="0"/>
                <w:sz w:val="18"/>
                <w:szCs w:val="18"/>
              </w:rPr>
            </w:pPr>
            <w:r>
              <w:rPr>
                <w:rFonts w:ascii="宋体" w:hint="eastAsia"/>
                <w:kern w:val="0"/>
                <w:sz w:val="18"/>
                <w:szCs w:val="18"/>
              </w:rPr>
              <w:t>项目</w:t>
            </w:r>
          </w:p>
        </w:tc>
        <w:tc>
          <w:tcPr>
            <w:tcW w:w="3682" w:type="dxa"/>
            <w:vAlign w:val="center"/>
          </w:tcPr>
          <w:p w:rsidR="00E87AEA" w:rsidRDefault="006A25F0">
            <w:pPr>
              <w:tabs>
                <w:tab w:val="center" w:pos="4201"/>
                <w:tab w:val="right" w:leader="dot" w:pos="9298"/>
              </w:tabs>
              <w:autoSpaceDE w:val="0"/>
              <w:autoSpaceDN w:val="0"/>
              <w:jc w:val="center"/>
              <w:rPr>
                <w:rFonts w:ascii="宋体"/>
                <w:kern w:val="0"/>
                <w:sz w:val="18"/>
                <w:szCs w:val="18"/>
              </w:rPr>
            </w:pPr>
            <w:r>
              <w:rPr>
                <w:rFonts w:ascii="宋体" w:hint="eastAsia"/>
                <w:kern w:val="0"/>
                <w:sz w:val="18"/>
                <w:szCs w:val="18"/>
              </w:rPr>
              <w:t>指标</w:t>
            </w:r>
          </w:p>
        </w:tc>
      </w:tr>
      <w:tr w:rsidR="00E87AEA">
        <w:trPr>
          <w:jc w:val="center"/>
        </w:trPr>
        <w:tc>
          <w:tcPr>
            <w:tcW w:w="5335" w:type="dxa"/>
          </w:tcPr>
          <w:p w:rsidR="00E87AEA" w:rsidRDefault="006A25F0">
            <w:pPr>
              <w:tabs>
                <w:tab w:val="center" w:pos="4201"/>
                <w:tab w:val="right" w:leader="dot" w:pos="9298"/>
              </w:tabs>
              <w:autoSpaceDE w:val="0"/>
              <w:autoSpaceDN w:val="0"/>
              <w:rPr>
                <w:rFonts w:ascii="宋体"/>
                <w:kern w:val="0"/>
                <w:sz w:val="18"/>
                <w:szCs w:val="18"/>
              </w:rPr>
            </w:pPr>
            <w:r>
              <w:rPr>
                <w:rFonts w:ascii="宋体" w:hint="eastAsia"/>
                <w:kern w:val="0"/>
                <w:sz w:val="18"/>
                <w:szCs w:val="18"/>
              </w:rPr>
              <w:t>养分保持</w:t>
            </w:r>
            <w:r>
              <w:rPr>
                <w:rFonts w:ascii="宋体"/>
                <w:kern w:val="0"/>
                <w:sz w:val="18"/>
                <w:szCs w:val="18"/>
              </w:rPr>
              <w:t>率</w:t>
            </w:r>
            <w:r>
              <w:rPr>
                <w:rFonts w:ascii="宋体" w:hint="eastAsia"/>
                <w:kern w:val="0"/>
                <w:sz w:val="18"/>
                <w:szCs w:val="18"/>
              </w:rPr>
              <w:t>/%</w:t>
            </w:r>
            <w:r>
              <w:rPr>
                <w:rFonts w:ascii="宋体"/>
                <w:kern w:val="0"/>
                <w:sz w:val="18"/>
                <w:szCs w:val="18"/>
              </w:rPr>
              <w:t xml:space="preserve"> </w:t>
            </w:r>
            <w:r>
              <w:rPr>
                <w:rFonts w:ascii="宋体" w:hint="eastAsia"/>
                <w:kern w:val="0"/>
                <w:sz w:val="18"/>
                <w:szCs w:val="18"/>
              </w:rPr>
              <w:t xml:space="preserve">                                         </w:t>
            </w:r>
            <w:r>
              <w:rPr>
                <w:rFonts w:ascii="宋体" w:hint="eastAsia"/>
                <w:kern w:val="0"/>
                <w:sz w:val="18"/>
                <w:szCs w:val="18"/>
              </w:rPr>
              <w:t>≥</w:t>
            </w:r>
          </w:p>
        </w:tc>
        <w:tc>
          <w:tcPr>
            <w:tcW w:w="3682" w:type="dxa"/>
          </w:tcPr>
          <w:p w:rsidR="00E87AEA" w:rsidRDefault="006A25F0">
            <w:pPr>
              <w:tabs>
                <w:tab w:val="center" w:pos="4201"/>
                <w:tab w:val="right" w:leader="dot" w:pos="9298"/>
              </w:tabs>
              <w:autoSpaceDE w:val="0"/>
              <w:autoSpaceDN w:val="0"/>
              <w:jc w:val="center"/>
              <w:rPr>
                <w:rFonts w:ascii="宋体"/>
                <w:color w:val="FF0000"/>
                <w:kern w:val="0"/>
                <w:sz w:val="18"/>
                <w:szCs w:val="18"/>
              </w:rPr>
            </w:pPr>
            <w:r>
              <w:rPr>
                <w:rFonts w:ascii="宋体" w:hint="eastAsia"/>
                <w:kern w:val="0"/>
                <w:sz w:val="18"/>
                <w:szCs w:val="18"/>
              </w:rPr>
              <w:t>20</w:t>
            </w:r>
          </w:p>
        </w:tc>
      </w:tr>
      <w:tr w:rsidR="00E87AEA">
        <w:trPr>
          <w:jc w:val="center"/>
        </w:trPr>
        <w:tc>
          <w:tcPr>
            <w:tcW w:w="9017" w:type="dxa"/>
            <w:gridSpan w:val="2"/>
          </w:tcPr>
          <w:p w:rsidR="00E87AEA" w:rsidRDefault="006A25F0">
            <w:pPr>
              <w:pStyle w:val="afffb"/>
            </w:pPr>
            <w:r>
              <w:t>其他指标符合</w:t>
            </w:r>
            <w:r>
              <w:rPr>
                <w:rFonts w:hint="eastAsia"/>
              </w:rPr>
              <w:t xml:space="preserve"> </w:t>
            </w:r>
            <w:r>
              <w:t xml:space="preserve">GB/T </w:t>
            </w:r>
            <w:r>
              <w:t>10209</w:t>
            </w:r>
            <w:r>
              <w:rPr>
                <w:rFonts w:hint="eastAsia"/>
              </w:rPr>
              <w:t xml:space="preserve"> </w:t>
            </w:r>
            <w:r>
              <w:t>的要求。</w:t>
            </w:r>
          </w:p>
        </w:tc>
      </w:tr>
    </w:tbl>
    <w:p w:rsidR="00E87AEA" w:rsidRDefault="00E87AEA">
      <w:pPr>
        <w:pStyle w:val="affd"/>
        <w:ind w:firstLineChars="0" w:firstLine="0"/>
      </w:pPr>
    </w:p>
    <w:p w:rsidR="00E87AEA" w:rsidRDefault="006A25F0">
      <w:pPr>
        <w:pStyle w:val="affd"/>
        <w:ind w:firstLineChars="0" w:firstLine="0"/>
      </w:pPr>
      <w:r>
        <w:rPr>
          <w:rFonts w:ascii="黑体" w:eastAsia="黑体" w:hAnsi="黑体" w:hint="eastAsia"/>
        </w:rPr>
        <w:t>4.2.3</w:t>
      </w:r>
      <w:r>
        <w:rPr>
          <w:rFonts w:ascii="黑体" w:eastAsia="黑体" w:hAnsi="黑体"/>
        </w:rPr>
        <w:t xml:space="preserve"> </w:t>
      </w:r>
      <w:r>
        <w:rPr>
          <w:rFonts w:hint="eastAsia"/>
        </w:rPr>
        <w:t>保持性复混（合）肥料的要求应符合表</w:t>
      </w:r>
      <w:r>
        <w:rPr>
          <w:rFonts w:hint="eastAsia"/>
        </w:rPr>
        <w:t xml:space="preserve"> 3 </w:t>
      </w:r>
      <w:r>
        <w:rPr>
          <w:rFonts w:hint="eastAsia"/>
        </w:rPr>
        <w:t>的规定。</w:t>
      </w:r>
    </w:p>
    <w:p w:rsidR="00E87AEA" w:rsidRDefault="006A25F0">
      <w:pPr>
        <w:pStyle w:val="af7"/>
        <w:ind w:left="0"/>
      </w:pPr>
      <w:r>
        <w:rPr>
          <w:rFonts w:ascii="宋体" w:eastAsia="宋体" w:hAnsi="宋体" w:cs="宋体" w:hint="eastAsia"/>
        </w:rPr>
        <w:t>保持性复混（合）肥料的要求</w:t>
      </w:r>
    </w:p>
    <w:tbl>
      <w:tblPr>
        <w:tblW w:w="89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7"/>
        <w:gridCol w:w="1948"/>
        <w:gridCol w:w="1798"/>
      </w:tblGrid>
      <w:tr w:rsidR="00E87AEA">
        <w:trPr>
          <w:jc w:val="center"/>
        </w:trPr>
        <w:tc>
          <w:tcPr>
            <w:tcW w:w="5247" w:type="dxa"/>
            <w:vMerge w:val="restart"/>
            <w:vAlign w:val="center"/>
          </w:tcPr>
          <w:p w:rsidR="00E87AEA" w:rsidRDefault="006A25F0">
            <w:pPr>
              <w:pStyle w:val="affd"/>
              <w:ind w:firstLineChars="0" w:firstLine="0"/>
              <w:jc w:val="center"/>
              <w:rPr>
                <w:sz w:val="18"/>
                <w:szCs w:val="18"/>
              </w:rPr>
            </w:pPr>
            <w:r>
              <w:rPr>
                <w:rFonts w:hint="eastAsia"/>
                <w:sz w:val="18"/>
                <w:szCs w:val="18"/>
              </w:rPr>
              <w:t>项目</w:t>
            </w:r>
          </w:p>
        </w:tc>
        <w:tc>
          <w:tcPr>
            <w:tcW w:w="3746" w:type="dxa"/>
            <w:gridSpan w:val="2"/>
            <w:vAlign w:val="center"/>
          </w:tcPr>
          <w:p w:rsidR="00E87AEA" w:rsidRDefault="006A25F0">
            <w:pPr>
              <w:pStyle w:val="affd"/>
              <w:ind w:firstLineChars="0" w:firstLine="0"/>
              <w:jc w:val="center"/>
              <w:rPr>
                <w:sz w:val="18"/>
                <w:szCs w:val="18"/>
              </w:rPr>
            </w:pPr>
            <w:r>
              <w:rPr>
                <w:rFonts w:hint="eastAsia"/>
                <w:sz w:val="18"/>
                <w:szCs w:val="18"/>
              </w:rPr>
              <w:t>指标</w:t>
            </w:r>
          </w:p>
        </w:tc>
      </w:tr>
      <w:tr w:rsidR="00E87AEA">
        <w:trPr>
          <w:jc w:val="center"/>
        </w:trPr>
        <w:tc>
          <w:tcPr>
            <w:tcW w:w="5247" w:type="dxa"/>
            <w:vMerge/>
          </w:tcPr>
          <w:p w:rsidR="00E87AEA" w:rsidRDefault="00E87AEA">
            <w:pPr>
              <w:pStyle w:val="affd"/>
              <w:ind w:firstLineChars="0" w:firstLine="0"/>
              <w:rPr>
                <w:sz w:val="18"/>
                <w:szCs w:val="18"/>
              </w:rPr>
            </w:pPr>
          </w:p>
        </w:tc>
        <w:tc>
          <w:tcPr>
            <w:tcW w:w="1948" w:type="dxa"/>
            <w:vAlign w:val="center"/>
          </w:tcPr>
          <w:p w:rsidR="00E87AEA" w:rsidRDefault="006A25F0">
            <w:pPr>
              <w:pStyle w:val="affd"/>
              <w:ind w:firstLineChars="0" w:firstLine="0"/>
              <w:jc w:val="center"/>
              <w:rPr>
                <w:sz w:val="18"/>
                <w:szCs w:val="18"/>
              </w:rPr>
            </w:pPr>
            <w:r>
              <w:rPr>
                <w:rFonts w:hint="eastAsia"/>
                <w:sz w:val="18"/>
                <w:szCs w:val="18"/>
              </w:rPr>
              <w:t>Ι类</w:t>
            </w:r>
          </w:p>
        </w:tc>
        <w:tc>
          <w:tcPr>
            <w:tcW w:w="1798" w:type="dxa"/>
            <w:vAlign w:val="center"/>
          </w:tcPr>
          <w:p w:rsidR="00E87AEA" w:rsidRDefault="006A25F0">
            <w:pPr>
              <w:pStyle w:val="affd"/>
              <w:ind w:firstLineChars="0" w:firstLine="0"/>
              <w:jc w:val="center"/>
              <w:rPr>
                <w:sz w:val="18"/>
                <w:szCs w:val="18"/>
              </w:rPr>
            </w:pPr>
            <w:r>
              <w:rPr>
                <w:rFonts w:hint="eastAsia"/>
                <w:sz w:val="18"/>
                <w:szCs w:val="18"/>
              </w:rPr>
              <w:t>Ⅱ类</w:t>
            </w:r>
          </w:p>
        </w:tc>
      </w:tr>
      <w:tr w:rsidR="00E87AEA">
        <w:trPr>
          <w:trHeight w:val="316"/>
          <w:jc w:val="center"/>
        </w:trPr>
        <w:tc>
          <w:tcPr>
            <w:tcW w:w="5247" w:type="dxa"/>
          </w:tcPr>
          <w:p w:rsidR="00E87AEA" w:rsidRDefault="006A25F0">
            <w:pPr>
              <w:pStyle w:val="affd"/>
              <w:ind w:firstLineChars="0" w:firstLine="0"/>
              <w:rPr>
                <w:sz w:val="18"/>
                <w:szCs w:val="18"/>
              </w:rPr>
            </w:pPr>
            <w:r>
              <w:rPr>
                <w:rFonts w:hint="eastAsia"/>
                <w:sz w:val="18"/>
                <w:szCs w:val="18"/>
              </w:rPr>
              <w:t>养分保持率</w:t>
            </w:r>
            <w:r>
              <w:rPr>
                <w:rFonts w:hint="eastAsia"/>
                <w:sz w:val="18"/>
                <w:szCs w:val="18"/>
              </w:rPr>
              <w:t xml:space="preserve">/%                                         </w:t>
            </w:r>
            <w:r>
              <w:rPr>
                <w:rFonts w:hint="eastAsia"/>
                <w:sz w:val="18"/>
                <w:szCs w:val="18"/>
              </w:rPr>
              <w:t>≥</w:t>
            </w:r>
          </w:p>
        </w:tc>
        <w:tc>
          <w:tcPr>
            <w:tcW w:w="1948" w:type="dxa"/>
            <w:vAlign w:val="center"/>
          </w:tcPr>
          <w:p w:rsidR="00E87AEA" w:rsidRDefault="006A25F0">
            <w:pPr>
              <w:pStyle w:val="affd"/>
              <w:ind w:firstLineChars="0" w:firstLine="0"/>
              <w:jc w:val="center"/>
              <w:rPr>
                <w:sz w:val="18"/>
                <w:szCs w:val="18"/>
              </w:rPr>
            </w:pPr>
            <w:r>
              <w:rPr>
                <w:rFonts w:hint="eastAsia"/>
                <w:sz w:val="18"/>
                <w:szCs w:val="18"/>
              </w:rPr>
              <w:t>20</w:t>
            </w:r>
          </w:p>
        </w:tc>
        <w:tc>
          <w:tcPr>
            <w:tcW w:w="1798" w:type="dxa"/>
            <w:vAlign w:val="center"/>
          </w:tcPr>
          <w:p w:rsidR="00E87AEA" w:rsidRDefault="006A25F0">
            <w:pPr>
              <w:pStyle w:val="affd"/>
              <w:ind w:firstLineChars="0" w:firstLine="0"/>
              <w:jc w:val="center"/>
              <w:rPr>
                <w:sz w:val="18"/>
                <w:szCs w:val="18"/>
              </w:rPr>
            </w:pPr>
            <w:r>
              <w:rPr>
                <w:rFonts w:hint="eastAsia"/>
                <w:sz w:val="18"/>
                <w:szCs w:val="18"/>
              </w:rPr>
              <w:t>20</w:t>
            </w:r>
          </w:p>
        </w:tc>
      </w:tr>
      <w:tr w:rsidR="00E87AEA">
        <w:trPr>
          <w:trHeight w:val="294"/>
          <w:jc w:val="center"/>
        </w:trPr>
        <w:tc>
          <w:tcPr>
            <w:tcW w:w="5247" w:type="dxa"/>
          </w:tcPr>
          <w:p w:rsidR="00E87AEA" w:rsidRDefault="006A25F0">
            <w:pPr>
              <w:pStyle w:val="affd"/>
              <w:ind w:firstLineChars="0" w:firstLine="0"/>
              <w:rPr>
                <w:sz w:val="18"/>
                <w:szCs w:val="18"/>
              </w:rPr>
            </w:pPr>
            <w:r>
              <w:rPr>
                <w:rFonts w:hint="eastAsia"/>
                <w:sz w:val="18"/>
                <w:szCs w:val="18"/>
              </w:rPr>
              <w:t>氨挥发减少率</w:t>
            </w:r>
            <w:r>
              <w:rPr>
                <w:rFonts w:hint="eastAsia"/>
                <w:sz w:val="18"/>
                <w:szCs w:val="18"/>
              </w:rPr>
              <w:t xml:space="preserve">/%                                       </w:t>
            </w:r>
            <w:r>
              <w:rPr>
                <w:rFonts w:hint="eastAsia"/>
                <w:sz w:val="18"/>
                <w:szCs w:val="18"/>
              </w:rPr>
              <w:t>≥</w:t>
            </w:r>
          </w:p>
        </w:tc>
        <w:tc>
          <w:tcPr>
            <w:tcW w:w="1948" w:type="dxa"/>
            <w:vAlign w:val="center"/>
          </w:tcPr>
          <w:p w:rsidR="00E87AEA" w:rsidRDefault="00E87AEA">
            <w:pPr>
              <w:pStyle w:val="affd"/>
              <w:ind w:firstLineChars="0" w:firstLine="0"/>
              <w:jc w:val="center"/>
              <w:rPr>
                <w:sz w:val="18"/>
                <w:szCs w:val="18"/>
              </w:rPr>
            </w:pPr>
          </w:p>
        </w:tc>
        <w:tc>
          <w:tcPr>
            <w:tcW w:w="1798" w:type="dxa"/>
            <w:vAlign w:val="center"/>
          </w:tcPr>
          <w:p w:rsidR="00E87AEA" w:rsidRDefault="006A25F0">
            <w:pPr>
              <w:pStyle w:val="affd"/>
              <w:ind w:firstLineChars="0" w:firstLine="0"/>
              <w:jc w:val="center"/>
              <w:rPr>
                <w:color w:val="FF0000"/>
                <w:sz w:val="18"/>
                <w:szCs w:val="18"/>
              </w:rPr>
            </w:pPr>
            <w:r>
              <w:rPr>
                <w:rFonts w:hint="eastAsia"/>
                <w:sz w:val="18"/>
                <w:szCs w:val="18"/>
              </w:rPr>
              <w:t>15</w:t>
            </w:r>
          </w:p>
        </w:tc>
      </w:tr>
      <w:tr w:rsidR="00E87AEA">
        <w:trPr>
          <w:trHeight w:val="337"/>
          <w:jc w:val="center"/>
        </w:trPr>
        <w:tc>
          <w:tcPr>
            <w:tcW w:w="8993" w:type="dxa"/>
            <w:gridSpan w:val="3"/>
          </w:tcPr>
          <w:p w:rsidR="00E87AEA" w:rsidRDefault="006A25F0">
            <w:pPr>
              <w:pStyle w:val="afffb"/>
            </w:pPr>
            <w:r>
              <w:rPr>
                <w:rFonts w:hint="eastAsia"/>
              </w:rPr>
              <w:t>其他指标符合</w:t>
            </w:r>
            <w:r>
              <w:rPr>
                <w:rFonts w:hint="eastAsia"/>
              </w:rPr>
              <w:t xml:space="preserve">GB 15063 </w:t>
            </w:r>
            <w:r>
              <w:rPr>
                <w:rFonts w:hint="eastAsia"/>
              </w:rPr>
              <w:t>的要求。</w:t>
            </w:r>
          </w:p>
        </w:tc>
      </w:tr>
    </w:tbl>
    <w:p w:rsidR="00E87AEA" w:rsidRDefault="00E87AEA">
      <w:pPr>
        <w:pStyle w:val="affd"/>
        <w:ind w:firstLineChars="0" w:firstLine="0"/>
        <w:rPr>
          <w:rFonts w:hAnsi="宋体" w:cs="宋体"/>
        </w:rPr>
      </w:pPr>
    </w:p>
    <w:p w:rsidR="00E87AEA" w:rsidRDefault="006A25F0">
      <w:pPr>
        <w:pStyle w:val="affd"/>
        <w:ind w:firstLineChars="0" w:firstLine="0"/>
      </w:pPr>
      <w:r>
        <w:rPr>
          <w:rFonts w:ascii="黑体" w:eastAsia="黑体" w:hAnsi="黑体" w:hint="eastAsia"/>
        </w:rPr>
        <w:t>4.2.4</w:t>
      </w:r>
      <w:r>
        <w:rPr>
          <w:rFonts w:ascii="黑体" w:eastAsia="黑体" w:hAnsi="黑体"/>
        </w:rPr>
        <w:t xml:space="preserve"> </w:t>
      </w:r>
      <w:r>
        <w:rPr>
          <w:rFonts w:hint="eastAsia"/>
        </w:rPr>
        <w:t>保持性</w:t>
      </w:r>
      <w:r>
        <w:rPr>
          <w:rFonts w:hint="eastAsia"/>
        </w:rPr>
        <w:t>掺混</w:t>
      </w:r>
      <w:r>
        <w:rPr>
          <w:rFonts w:hint="eastAsia"/>
        </w:rPr>
        <w:t>肥料的要求应符合表</w:t>
      </w:r>
      <w:r>
        <w:rPr>
          <w:rFonts w:hint="eastAsia"/>
        </w:rPr>
        <w:t>4</w:t>
      </w:r>
      <w:r>
        <w:rPr>
          <w:rFonts w:hint="eastAsia"/>
        </w:rPr>
        <w:t>的规定。</w:t>
      </w:r>
    </w:p>
    <w:p w:rsidR="00E87AEA" w:rsidRDefault="006A25F0" w:rsidP="00397107">
      <w:pPr>
        <w:pStyle w:val="af7"/>
        <w:ind w:left="0"/>
      </w:pPr>
      <w:r>
        <w:rPr>
          <w:rFonts w:hint="eastAsia"/>
        </w:rPr>
        <w:t>保持性掺混肥料的要求</w:t>
      </w:r>
    </w:p>
    <w:tbl>
      <w:tblPr>
        <w:tblW w:w="89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7"/>
        <w:gridCol w:w="1873"/>
        <w:gridCol w:w="1873"/>
      </w:tblGrid>
      <w:tr w:rsidR="00E87AEA">
        <w:trPr>
          <w:trHeight w:val="300"/>
          <w:jc w:val="center"/>
        </w:trPr>
        <w:tc>
          <w:tcPr>
            <w:tcW w:w="5247" w:type="dxa"/>
            <w:vMerge w:val="restart"/>
            <w:vAlign w:val="center"/>
          </w:tcPr>
          <w:p w:rsidR="00E87AEA" w:rsidRDefault="006A25F0">
            <w:pPr>
              <w:pStyle w:val="affd"/>
              <w:ind w:firstLineChars="0" w:firstLine="0"/>
              <w:jc w:val="center"/>
              <w:rPr>
                <w:sz w:val="18"/>
                <w:szCs w:val="18"/>
              </w:rPr>
            </w:pPr>
            <w:r>
              <w:rPr>
                <w:rFonts w:hint="eastAsia"/>
                <w:sz w:val="18"/>
                <w:szCs w:val="18"/>
              </w:rPr>
              <w:t>项目</w:t>
            </w:r>
          </w:p>
        </w:tc>
        <w:tc>
          <w:tcPr>
            <w:tcW w:w="3746" w:type="dxa"/>
            <w:gridSpan w:val="2"/>
            <w:vAlign w:val="center"/>
          </w:tcPr>
          <w:p w:rsidR="00E87AEA" w:rsidRDefault="006A25F0">
            <w:pPr>
              <w:pStyle w:val="affd"/>
              <w:ind w:firstLineChars="0" w:firstLine="0"/>
              <w:jc w:val="center"/>
              <w:rPr>
                <w:sz w:val="18"/>
                <w:szCs w:val="18"/>
              </w:rPr>
            </w:pPr>
            <w:r>
              <w:rPr>
                <w:rFonts w:hint="eastAsia"/>
                <w:sz w:val="18"/>
                <w:szCs w:val="18"/>
              </w:rPr>
              <w:t>指标</w:t>
            </w:r>
          </w:p>
        </w:tc>
      </w:tr>
      <w:tr w:rsidR="00E87AEA">
        <w:trPr>
          <w:trHeight w:val="300"/>
          <w:jc w:val="center"/>
        </w:trPr>
        <w:tc>
          <w:tcPr>
            <w:tcW w:w="5247" w:type="dxa"/>
            <w:vMerge/>
            <w:vAlign w:val="center"/>
          </w:tcPr>
          <w:p w:rsidR="00E87AEA" w:rsidRDefault="00E87AEA">
            <w:pPr>
              <w:pStyle w:val="affd"/>
              <w:ind w:firstLineChars="0" w:firstLine="0"/>
              <w:jc w:val="center"/>
              <w:rPr>
                <w:sz w:val="18"/>
                <w:szCs w:val="18"/>
              </w:rPr>
            </w:pPr>
          </w:p>
        </w:tc>
        <w:tc>
          <w:tcPr>
            <w:tcW w:w="1873" w:type="dxa"/>
            <w:vAlign w:val="center"/>
          </w:tcPr>
          <w:p w:rsidR="00E87AEA" w:rsidRDefault="006A25F0">
            <w:pPr>
              <w:pStyle w:val="affd"/>
              <w:ind w:firstLineChars="0" w:firstLine="0"/>
              <w:jc w:val="center"/>
              <w:rPr>
                <w:sz w:val="18"/>
                <w:szCs w:val="18"/>
              </w:rPr>
            </w:pPr>
            <w:r>
              <w:rPr>
                <w:rFonts w:hint="eastAsia"/>
                <w:sz w:val="18"/>
                <w:szCs w:val="18"/>
              </w:rPr>
              <w:t>Ι类</w:t>
            </w:r>
          </w:p>
        </w:tc>
        <w:tc>
          <w:tcPr>
            <w:tcW w:w="1873" w:type="dxa"/>
            <w:vAlign w:val="center"/>
          </w:tcPr>
          <w:p w:rsidR="00E87AEA" w:rsidRDefault="006A25F0">
            <w:pPr>
              <w:pStyle w:val="affd"/>
              <w:ind w:firstLineChars="0" w:firstLine="0"/>
              <w:jc w:val="center"/>
              <w:rPr>
                <w:sz w:val="18"/>
                <w:szCs w:val="18"/>
              </w:rPr>
            </w:pPr>
            <w:r>
              <w:rPr>
                <w:rFonts w:hint="eastAsia"/>
                <w:sz w:val="18"/>
                <w:szCs w:val="18"/>
              </w:rPr>
              <w:t>Ⅱ类</w:t>
            </w:r>
          </w:p>
        </w:tc>
      </w:tr>
      <w:tr w:rsidR="00E87AEA">
        <w:trPr>
          <w:trHeight w:val="316"/>
          <w:jc w:val="center"/>
        </w:trPr>
        <w:tc>
          <w:tcPr>
            <w:tcW w:w="5247" w:type="dxa"/>
          </w:tcPr>
          <w:p w:rsidR="00E87AEA" w:rsidRDefault="006A25F0">
            <w:pPr>
              <w:pStyle w:val="affd"/>
              <w:ind w:firstLineChars="0" w:firstLine="0"/>
              <w:rPr>
                <w:sz w:val="18"/>
                <w:szCs w:val="18"/>
              </w:rPr>
            </w:pPr>
            <w:r>
              <w:rPr>
                <w:rFonts w:hint="eastAsia"/>
                <w:sz w:val="18"/>
                <w:szCs w:val="18"/>
              </w:rPr>
              <w:t>养分保持率</w:t>
            </w:r>
            <w:r>
              <w:rPr>
                <w:rFonts w:hint="eastAsia"/>
                <w:sz w:val="18"/>
                <w:szCs w:val="18"/>
              </w:rPr>
              <w:t xml:space="preserve">/%                                         </w:t>
            </w:r>
            <w:r>
              <w:rPr>
                <w:rFonts w:hint="eastAsia"/>
                <w:sz w:val="18"/>
                <w:szCs w:val="18"/>
              </w:rPr>
              <w:t>≥</w:t>
            </w:r>
          </w:p>
        </w:tc>
        <w:tc>
          <w:tcPr>
            <w:tcW w:w="1873" w:type="dxa"/>
            <w:vAlign w:val="center"/>
          </w:tcPr>
          <w:p w:rsidR="00E87AEA" w:rsidRDefault="006A25F0">
            <w:pPr>
              <w:pStyle w:val="affd"/>
              <w:ind w:firstLineChars="0" w:firstLine="0"/>
              <w:jc w:val="center"/>
              <w:rPr>
                <w:sz w:val="18"/>
                <w:szCs w:val="18"/>
              </w:rPr>
            </w:pPr>
            <w:r>
              <w:rPr>
                <w:rFonts w:hint="eastAsia"/>
                <w:sz w:val="18"/>
                <w:szCs w:val="18"/>
              </w:rPr>
              <w:t>20</w:t>
            </w:r>
          </w:p>
        </w:tc>
        <w:tc>
          <w:tcPr>
            <w:tcW w:w="1873" w:type="dxa"/>
            <w:vAlign w:val="center"/>
          </w:tcPr>
          <w:p w:rsidR="00E87AEA" w:rsidRDefault="006A25F0">
            <w:pPr>
              <w:pStyle w:val="affd"/>
              <w:ind w:firstLineChars="400" w:firstLine="720"/>
              <w:rPr>
                <w:sz w:val="18"/>
                <w:szCs w:val="18"/>
              </w:rPr>
            </w:pPr>
            <w:r>
              <w:rPr>
                <w:rFonts w:hint="eastAsia"/>
                <w:sz w:val="18"/>
                <w:szCs w:val="18"/>
              </w:rPr>
              <w:t>20</w:t>
            </w:r>
          </w:p>
        </w:tc>
      </w:tr>
      <w:tr w:rsidR="00E87AEA">
        <w:trPr>
          <w:trHeight w:val="294"/>
          <w:jc w:val="center"/>
        </w:trPr>
        <w:tc>
          <w:tcPr>
            <w:tcW w:w="5247" w:type="dxa"/>
          </w:tcPr>
          <w:p w:rsidR="00E87AEA" w:rsidRDefault="006A25F0">
            <w:pPr>
              <w:pStyle w:val="affd"/>
              <w:ind w:firstLineChars="0" w:firstLine="0"/>
              <w:rPr>
                <w:sz w:val="18"/>
                <w:szCs w:val="18"/>
              </w:rPr>
            </w:pPr>
            <w:r>
              <w:rPr>
                <w:rFonts w:hint="eastAsia"/>
                <w:sz w:val="18"/>
                <w:szCs w:val="18"/>
              </w:rPr>
              <w:t>氨挥发减少率</w:t>
            </w:r>
            <w:r>
              <w:rPr>
                <w:rFonts w:hint="eastAsia"/>
                <w:sz w:val="18"/>
                <w:szCs w:val="18"/>
              </w:rPr>
              <w:t xml:space="preserve">/%                              </w:t>
            </w:r>
            <w:r>
              <w:rPr>
                <w:sz w:val="18"/>
                <w:szCs w:val="18"/>
              </w:rPr>
              <w:t xml:space="preserve">        </w:t>
            </w:r>
            <w:r>
              <w:rPr>
                <w:rFonts w:hint="eastAsia"/>
                <w:sz w:val="18"/>
                <w:szCs w:val="18"/>
              </w:rPr>
              <w:t xml:space="preserve"> </w:t>
            </w:r>
            <w:r>
              <w:rPr>
                <w:rFonts w:hint="eastAsia"/>
                <w:sz w:val="18"/>
                <w:szCs w:val="18"/>
              </w:rPr>
              <w:t>≥</w:t>
            </w:r>
          </w:p>
        </w:tc>
        <w:tc>
          <w:tcPr>
            <w:tcW w:w="1873" w:type="dxa"/>
            <w:vAlign w:val="center"/>
          </w:tcPr>
          <w:p w:rsidR="00E87AEA" w:rsidRDefault="00E87AEA">
            <w:pPr>
              <w:pStyle w:val="affd"/>
              <w:ind w:firstLineChars="0" w:firstLine="0"/>
              <w:jc w:val="center"/>
              <w:rPr>
                <w:color w:val="FF0000"/>
                <w:sz w:val="18"/>
                <w:szCs w:val="18"/>
              </w:rPr>
            </w:pPr>
          </w:p>
        </w:tc>
        <w:tc>
          <w:tcPr>
            <w:tcW w:w="1873" w:type="dxa"/>
            <w:vAlign w:val="center"/>
          </w:tcPr>
          <w:p w:rsidR="00E87AEA" w:rsidRDefault="006A25F0">
            <w:pPr>
              <w:pStyle w:val="affd"/>
              <w:ind w:firstLineChars="0" w:firstLine="0"/>
              <w:jc w:val="center"/>
              <w:rPr>
                <w:color w:val="FF0000"/>
                <w:sz w:val="18"/>
                <w:szCs w:val="18"/>
              </w:rPr>
            </w:pPr>
            <w:r>
              <w:rPr>
                <w:rFonts w:hint="eastAsia"/>
                <w:sz w:val="18"/>
                <w:szCs w:val="18"/>
              </w:rPr>
              <w:t>15</w:t>
            </w:r>
          </w:p>
        </w:tc>
      </w:tr>
      <w:tr w:rsidR="00E87AEA">
        <w:trPr>
          <w:trHeight w:val="294"/>
          <w:jc w:val="center"/>
        </w:trPr>
        <w:tc>
          <w:tcPr>
            <w:tcW w:w="8993" w:type="dxa"/>
            <w:gridSpan w:val="3"/>
          </w:tcPr>
          <w:p w:rsidR="00E87AEA" w:rsidRDefault="006A25F0">
            <w:pPr>
              <w:pStyle w:val="afffb"/>
            </w:pPr>
            <w:r>
              <w:rPr>
                <w:rFonts w:hint="eastAsia"/>
              </w:rPr>
              <w:t>其他指标符合</w:t>
            </w:r>
            <w:r>
              <w:rPr>
                <w:rFonts w:hint="eastAsia"/>
              </w:rPr>
              <w:t xml:space="preserve">GB 21633 </w:t>
            </w:r>
            <w:r>
              <w:rPr>
                <w:rFonts w:hint="eastAsia"/>
              </w:rPr>
              <w:t>的要求。</w:t>
            </w:r>
          </w:p>
        </w:tc>
      </w:tr>
    </w:tbl>
    <w:p w:rsidR="00E87AEA" w:rsidRDefault="00E87AEA">
      <w:pPr>
        <w:pStyle w:val="a5"/>
        <w:numPr>
          <w:ilvl w:val="0"/>
          <w:numId w:val="0"/>
        </w:numPr>
      </w:pPr>
    </w:p>
    <w:p w:rsidR="00E87AEA" w:rsidRDefault="006A25F0">
      <w:pPr>
        <w:pStyle w:val="a4"/>
      </w:pPr>
      <w:bookmarkStart w:id="27" w:name="_Toc491250096"/>
      <w:r>
        <w:rPr>
          <w:rFonts w:hint="eastAsia"/>
        </w:rPr>
        <w:t>试验方法</w:t>
      </w:r>
      <w:bookmarkEnd w:id="27"/>
    </w:p>
    <w:p w:rsidR="00397107" w:rsidRPr="00397107" w:rsidRDefault="00397107" w:rsidP="00397107">
      <w:pPr>
        <w:pStyle w:val="a5"/>
        <w:ind w:left="0"/>
        <w:rPr>
          <w:rFonts w:hint="eastAsia"/>
        </w:rPr>
      </w:pPr>
      <w:r>
        <w:rPr>
          <w:rFonts w:hint="eastAsia"/>
        </w:rPr>
        <w:t>一般规定</w:t>
      </w:r>
    </w:p>
    <w:p w:rsidR="00E87AEA" w:rsidRDefault="006A25F0">
      <w:pPr>
        <w:pStyle w:val="affd"/>
      </w:pPr>
      <w:r>
        <w:rPr>
          <w:rFonts w:hint="eastAsia"/>
        </w:rPr>
        <w:t>本部分所用的试剂和水，在没有注明其他要求时，指分析纯试剂和</w:t>
      </w:r>
      <w:r>
        <w:rPr>
          <w:rFonts w:hint="eastAsia"/>
        </w:rPr>
        <w:t xml:space="preserve"> GB/T 6682 </w:t>
      </w:r>
      <w:r>
        <w:rPr>
          <w:rFonts w:hint="eastAsia"/>
        </w:rPr>
        <w:t>中规定的三级水。实验中所用的标准滴定溶液、制剂和制品，在没有其他规定时，按</w:t>
      </w:r>
      <w:r>
        <w:rPr>
          <w:rFonts w:hint="eastAsia"/>
        </w:rPr>
        <w:t xml:space="preserve"> HG/T 2843 </w:t>
      </w:r>
      <w:r>
        <w:rPr>
          <w:rFonts w:hint="eastAsia"/>
        </w:rPr>
        <w:t>的规定制备。</w:t>
      </w:r>
    </w:p>
    <w:p w:rsidR="00E87AEA" w:rsidRDefault="006A25F0">
      <w:pPr>
        <w:pStyle w:val="a5"/>
        <w:ind w:left="0"/>
      </w:pPr>
      <w:r>
        <w:rPr>
          <w:rFonts w:hint="eastAsia"/>
        </w:rPr>
        <w:t>外观</w:t>
      </w:r>
    </w:p>
    <w:p w:rsidR="00E87AEA" w:rsidRDefault="006A25F0">
      <w:pPr>
        <w:pStyle w:val="affd"/>
      </w:pPr>
      <w:r>
        <w:rPr>
          <w:rFonts w:hint="eastAsia"/>
        </w:rPr>
        <w:t xml:space="preserve"> </w:t>
      </w:r>
      <w:r>
        <w:rPr>
          <w:rFonts w:hint="eastAsia"/>
        </w:rPr>
        <w:t>目测法测定。</w:t>
      </w:r>
    </w:p>
    <w:p w:rsidR="00E87AEA" w:rsidRDefault="006A25F0">
      <w:pPr>
        <w:pStyle w:val="a5"/>
        <w:ind w:left="0"/>
      </w:pPr>
      <w:r>
        <w:rPr>
          <w:rFonts w:hint="eastAsia"/>
        </w:rPr>
        <w:t>总氮含量的测定</w:t>
      </w:r>
    </w:p>
    <w:p w:rsidR="00E87AEA" w:rsidRDefault="006A25F0">
      <w:pPr>
        <w:pStyle w:val="affd"/>
        <w:rPr>
          <w:szCs w:val="21"/>
        </w:rPr>
      </w:pPr>
      <w:r>
        <w:rPr>
          <w:rFonts w:hint="eastAsia"/>
        </w:rPr>
        <w:t>保持性尿素按</w:t>
      </w:r>
      <w:r>
        <w:rPr>
          <w:rFonts w:hint="eastAsia"/>
        </w:rPr>
        <w:t xml:space="preserve"> GB/T 2441.1</w:t>
      </w:r>
      <w:r>
        <w:rPr>
          <w:rFonts w:hint="eastAsia"/>
        </w:rPr>
        <w:t>的规定执行。保持性复混（合）肥料</w:t>
      </w:r>
      <w:r>
        <w:rPr>
          <w:rFonts w:hint="eastAsia"/>
        </w:rPr>
        <w:t>、</w:t>
      </w:r>
      <w:r>
        <w:rPr>
          <w:rFonts w:hint="eastAsia"/>
        </w:rPr>
        <w:t>保持性掺混肥料</w:t>
      </w:r>
      <w:r>
        <w:rPr>
          <w:rFonts w:hint="eastAsia"/>
        </w:rPr>
        <w:t>按</w:t>
      </w:r>
      <w:r>
        <w:rPr>
          <w:rFonts w:hint="eastAsia"/>
        </w:rPr>
        <w:t xml:space="preserve"> GB/T 8572 </w:t>
      </w:r>
      <w:r>
        <w:rPr>
          <w:rFonts w:hint="eastAsia"/>
        </w:rPr>
        <w:t>的规定执行。保持性磷酸二铵按</w:t>
      </w:r>
      <w:r>
        <w:rPr>
          <w:rFonts w:hint="eastAsia"/>
        </w:rPr>
        <w:t xml:space="preserve"> </w:t>
      </w:r>
      <w:r>
        <w:rPr>
          <w:rFonts w:hint="eastAsia"/>
          <w:szCs w:val="21"/>
        </w:rPr>
        <w:t xml:space="preserve">GB/T 10209.1 </w:t>
      </w:r>
      <w:r>
        <w:rPr>
          <w:rFonts w:hint="eastAsia"/>
          <w:szCs w:val="21"/>
        </w:rPr>
        <w:t>的规定执行。</w:t>
      </w:r>
    </w:p>
    <w:p w:rsidR="00E87AEA" w:rsidRDefault="006A25F0">
      <w:pPr>
        <w:pStyle w:val="a5"/>
        <w:ind w:left="0"/>
      </w:pPr>
      <w:r>
        <w:rPr>
          <w:rFonts w:hint="eastAsia"/>
        </w:rPr>
        <w:t>磷含量测定</w:t>
      </w:r>
    </w:p>
    <w:p w:rsidR="00E87AEA" w:rsidRDefault="006A25F0">
      <w:pPr>
        <w:pStyle w:val="affd"/>
      </w:pPr>
      <w:r>
        <w:rPr>
          <w:rFonts w:hint="eastAsia"/>
        </w:rPr>
        <w:t>保持性复混（合）肥料</w:t>
      </w:r>
      <w:r>
        <w:rPr>
          <w:rFonts w:hint="eastAsia"/>
        </w:rPr>
        <w:t>、</w:t>
      </w:r>
      <w:r>
        <w:rPr>
          <w:rFonts w:hint="eastAsia"/>
        </w:rPr>
        <w:t>保持性掺混</w:t>
      </w:r>
      <w:r>
        <w:rPr>
          <w:rFonts w:hint="eastAsia"/>
        </w:rPr>
        <w:t>肥料</w:t>
      </w:r>
      <w:r>
        <w:rPr>
          <w:rFonts w:hint="eastAsia"/>
        </w:rPr>
        <w:t>按</w:t>
      </w:r>
      <w:r>
        <w:rPr>
          <w:rFonts w:hint="eastAsia"/>
        </w:rPr>
        <w:t xml:space="preserve"> GB/T 8572 </w:t>
      </w:r>
      <w:r>
        <w:rPr>
          <w:rFonts w:hint="eastAsia"/>
        </w:rPr>
        <w:t>的规定执行。保持性磷酸二铵按</w:t>
      </w:r>
      <w:r>
        <w:rPr>
          <w:rFonts w:hint="eastAsia"/>
        </w:rPr>
        <w:t xml:space="preserve"> </w:t>
      </w:r>
      <w:r>
        <w:rPr>
          <w:rFonts w:hint="eastAsia"/>
          <w:szCs w:val="21"/>
        </w:rPr>
        <w:t xml:space="preserve">GB/T 10209.2 </w:t>
      </w:r>
      <w:r>
        <w:rPr>
          <w:rFonts w:hint="eastAsia"/>
          <w:szCs w:val="21"/>
        </w:rPr>
        <w:t>中水溶磷测定的规定执行。</w:t>
      </w:r>
    </w:p>
    <w:p w:rsidR="00E87AEA" w:rsidRDefault="006A25F0">
      <w:pPr>
        <w:pStyle w:val="a5"/>
        <w:ind w:left="0"/>
      </w:pPr>
      <w:r>
        <w:rPr>
          <w:rFonts w:hint="eastAsia"/>
        </w:rPr>
        <w:t>养分保持率的测定</w:t>
      </w:r>
    </w:p>
    <w:p w:rsidR="00E87AEA" w:rsidRDefault="006A25F0">
      <w:pPr>
        <w:pStyle w:val="affd"/>
      </w:pPr>
      <w:r>
        <w:rPr>
          <w:rFonts w:hint="eastAsia"/>
        </w:rPr>
        <w:t xml:space="preserve"> </w:t>
      </w:r>
      <w:r>
        <w:rPr>
          <w:rFonts w:hint="eastAsia"/>
        </w:rPr>
        <w:t>按附录</w:t>
      </w:r>
      <w:r>
        <w:rPr>
          <w:rFonts w:hint="eastAsia"/>
        </w:rPr>
        <w:t xml:space="preserve"> A </w:t>
      </w:r>
      <w:r>
        <w:rPr>
          <w:rFonts w:hint="eastAsia"/>
        </w:rPr>
        <w:t>进行。</w:t>
      </w:r>
    </w:p>
    <w:p w:rsidR="00E87AEA" w:rsidRDefault="006A25F0">
      <w:pPr>
        <w:pStyle w:val="a5"/>
        <w:ind w:left="0"/>
      </w:pPr>
      <w:r>
        <w:rPr>
          <w:rFonts w:hint="eastAsia"/>
        </w:rPr>
        <w:t>氨挥发减少率的测定</w:t>
      </w:r>
    </w:p>
    <w:p w:rsidR="00E87AEA" w:rsidRDefault="006A25F0">
      <w:pPr>
        <w:pStyle w:val="affd"/>
      </w:pPr>
      <w:r>
        <w:rPr>
          <w:rFonts w:hint="eastAsia"/>
        </w:rPr>
        <w:t xml:space="preserve"> </w:t>
      </w:r>
      <w:r>
        <w:rPr>
          <w:rFonts w:hint="eastAsia"/>
        </w:rPr>
        <w:t>按附录</w:t>
      </w:r>
      <w:r>
        <w:rPr>
          <w:rFonts w:hint="eastAsia"/>
        </w:rPr>
        <w:t xml:space="preserve"> B </w:t>
      </w:r>
      <w:r>
        <w:rPr>
          <w:rFonts w:hint="eastAsia"/>
        </w:rPr>
        <w:t>进行。</w:t>
      </w:r>
    </w:p>
    <w:p w:rsidR="00E87AEA" w:rsidRDefault="006A25F0">
      <w:pPr>
        <w:pStyle w:val="a5"/>
        <w:ind w:left="0"/>
      </w:pPr>
      <w:r>
        <w:rPr>
          <w:rFonts w:hint="eastAsia"/>
        </w:rPr>
        <w:t>其他项目的检测方法</w:t>
      </w:r>
    </w:p>
    <w:p w:rsidR="00E87AEA" w:rsidRDefault="006A25F0">
      <w:pPr>
        <w:pStyle w:val="affd"/>
      </w:pPr>
      <w:r>
        <w:rPr>
          <w:rFonts w:hint="eastAsia"/>
        </w:rPr>
        <w:t>保持性尿素：按照</w:t>
      </w:r>
      <w:r>
        <w:rPr>
          <w:rFonts w:hint="eastAsia"/>
        </w:rPr>
        <w:t xml:space="preserve"> GB 2440-2001 </w:t>
      </w:r>
      <w:r>
        <w:rPr>
          <w:rFonts w:hint="eastAsia"/>
        </w:rPr>
        <w:t>中第</w:t>
      </w:r>
      <w:r>
        <w:rPr>
          <w:rFonts w:hint="eastAsia"/>
        </w:rPr>
        <w:t xml:space="preserve"> 4 </w:t>
      </w:r>
      <w:r>
        <w:rPr>
          <w:rFonts w:hint="eastAsia"/>
        </w:rPr>
        <w:t>章的相关规定执行；</w:t>
      </w:r>
    </w:p>
    <w:p w:rsidR="00E87AEA" w:rsidRDefault="006A25F0">
      <w:pPr>
        <w:pStyle w:val="affd"/>
      </w:pPr>
      <w:r>
        <w:rPr>
          <w:rFonts w:hint="eastAsia"/>
        </w:rPr>
        <w:t>保持性复合肥：按照</w:t>
      </w:r>
      <w:r>
        <w:rPr>
          <w:rFonts w:hint="eastAsia"/>
        </w:rPr>
        <w:t xml:space="preserve">GB 15063-2009 </w:t>
      </w:r>
      <w:r>
        <w:rPr>
          <w:rFonts w:hint="eastAsia"/>
        </w:rPr>
        <w:t>中第</w:t>
      </w:r>
      <w:r>
        <w:rPr>
          <w:rFonts w:hint="eastAsia"/>
        </w:rPr>
        <w:t xml:space="preserve"> 5 </w:t>
      </w:r>
      <w:r>
        <w:rPr>
          <w:rFonts w:hint="eastAsia"/>
        </w:rPr>
        <w:t>章的相关规定执行；</w:t>
      </w:r>
    </w:p>
    <w:p w:rsidR="00E87AEA" w:rsidRDefault="006A25F0">
      <w:pPr>
        <w:pStyle w:val="affd"/>
      </w:pPr>
      <w:r>
        <w:rPr>
          <w:rFonts w:hint="eastAsia"/>
        </w:rPr>
        <w:t>保持性磷酸二铵：按照</w:t>
      </w:r>
      <w:r>
        <w:rPr>
          <w:rFonts w:hint="eastAsia"/>
        </w:rPr>
        <w:t xml:space="preserve">GB 10209.1 </w:t>
      </w:r>
      <w:r>
        <w:rPr>
          <w:rFonts w:hint="eastAsia"/>
        </w:rPr>
        <w:t>、</w:t>
      </w:r>
      <w:r>
        <w:rPr>
          <w:rFonts w:hint="eastAsia"/>
        </w:rPr>
        <w:t>GB 10209.2</w:t>
      </w:r>
      <w:r>
        <w:rPr>
          <w:rFonts w:hint="eastAsia"/>
        </w:rPr>
        <w:t>、</w:t>
      </w:r>
      <w:r>
        <w:rPr>
          <w:rFonts w:hint="eastAsia"/>
        </w:rPr>
        <w:t>GB 10209.3</w:t>
      </w:r>
      <w:r>
        <w:rPr>
          <w:rFonts w:hint="eastAsia"/>
        </w:rPr>
        <w:t>中的相关规定执行；</w:t>
      </w:r>
    </w:p>
    <w:p w:rsidR="00E87AEA" w:rsidRDefault="006A25F0">
      <w:pPr>
        <w:pStyle w:val="affd"/>
      </w:pPr>
      <w:r>
        <w:rPr>
          <w:rFonts w:hint="eastAsia"/>
        </w:rPr>
        <w:t>保持性掺混肥料：按照</w:t>
      </w:r>
      <w:r>
        <w:rPr>
          <w:rFonts w:hint="eastAsia"/>
        </w:rPr>
        <w:t xml:space="preserve"> GB 21633 </w:t>
      </w:r>
      <w:r>
        <w:rPr>
          <w:rFonts w:hint="eastAsia"/>
        </w:rPr>
        <w:t>中的相关规定执行。</w:t>
      </w:r>
    </w:p>
    <w:p w:rsidR="00E87AEA" w:rsidRDefault="006A25F0">
      <w:pPr>
        <w:pStyle w:val="a4"/>
      </w:pPr>
      <w:bookmarkStart w:id="28" w:name="_Toc491250097"/>
      <w:r>
        <w:rPr>
          <w:rFonts w:hint="eastAsia"/>
        </w:rPr>
        <w:t>检验规则</w:t>
      </w:r>
      <w:bookmarkEnd w:id="28"/>
    </w:p>
    <w:p w:rsidR="00E87AEA" w:rsidRDefault="006A25F0">
      <w:pPr>
        <w:pStyle w:val="a5"/>
        <w:tabs>
          <w:tab w:val="left" w:pos="284"/>
        </w:tabs>
        <w:ind w:left="0"/>
      </w:pPr>
      <w:r>
        <w:rPr>
          <w:rFonts w:hint="eastAsia"/>
        </w:rPr>
        <w:lastRenderedPageBreak/>
        <w:t>检验类别及检验项目</w:t>
      </w:r>
    </w:p>
    <w:p w:rsidR="00E87AEA" w:rsidRDefault="006A25F0">
      <w:pPr>
        <w:pStyle w:val="affd"/>
      </w:pPr>
      <w:r>
        <w:t>产品检验包括出厂检验和型式检验。</w:t>
      </w:r>
      <w:r>
        <w:t xml:space="preserve"> </w:t>
      </w:r>
    </w:p>
    <w:p w:rsidR="00E87AEA" w:rsidRDefault="006A25F0">
      <w:pPr>
        <w:pStyle w:val="affd"/>
        <w:jc w:val="left"/>
      </w:pPr>
      <w:r>
        <w:rPr>
          <w:rFonts w:hint="eastAsia"/>
        </w:rPr>
        <w:t>保持性</w:t>
      </w:r>
      <w:r>
        <w:t>尿素：总氮、氨挥发</w:t>
      </w:r>
      <w:r>
        <w:rPr>
          <w:rFonts w:hint="eastAsia"/>
        </w:rPr>
        <w:t>减少</w:t>
      </w:r>
      <w:r>
        <w:t>率</w:t>
      </w:r>
      <w:r>
        <w:rPr>
          <w:rFonts w:hint="eastAsia"/>
        </w:rPr>
        <w:t>、</w:t>
      </w:r>
      <w:r>
        <w:rPr>
          <w:rFonts w:hint="eastAsia"/>
        </w:rPr>
        <w:t>粒度</w:t>
      </w:r>
      <w:r>
        <w:t>为出厂检验项目。型式检验包含</w:t>
      </w:r>
      <w:r>
        <w:t>4.1</w:t>
      </w:r>
      <w:r>
        <w:t>、</w:t>
      </w:r>
      <w:r>
        <w:t>4.</w:t>
      </w:r>
      <w:r>
        <w:rPr>
          <w:rFonts w:hint="eastAsia"/>
        </w:rPr>
        <w:t>2</w:t>
      </w:r>
      <w:r>
        <w:t>.1</w:t>
      </w:r>
      <w:r>
        <w:t>和</w:t>
      </w:r>
      <w:r>
        <w:t>GB 2440</w:t>
      </w:r>
      <w:r>
        <w:t>相关要求的全部需检测项目。</w:t>
      </w:r>
    </w:p>
    <w:p w:rsidR="00E87AEA" w:rsidRDefault="006A25F0">
      <w:pPr>
        <w:pStyle w:val="affd"/>
        <w:jc w:val="left"/>
      </w:pPr>
      <w:r>
        <w:rPr>
          <w:rFonts w:hint="eastAsia"/>
        </w:rPr>
        <w:t>保持性磷酸二铵</w:t>
      </w:r>
      <w:r>
        <w:t>：总养分、水溶磷</w:t>
      </w:r>
      <w:r>
        <w:t>/</w:t>
      </w:r>
      <w:r>
        <w:t>有效磷、</w:t>
      </w:r>
      <w:r>
        <w:rPr>
          <w:rFonts w:hint="eastAsia"/>
        </w:rPr>
        <w:t>养分保持率</w:t>
      </w:r>
      <w:r>
        <w:t>、</w:t>
      </w:r>
      <w:r>
        <w:t>水分、粒度为出厂检验项目。型式检验包含</w:t>
      </w:r>
      <w:r>
        <w:t>4.1</w:t>
      </w:r>
      <w:r>
        <w:t>、</w:t>
      </w:r>
      <w:r>
        <w:t>4.</w:t>
      </w:r>
      <w:r>
        <w:rPr>
          <w:rFonts w:hint="eastAsia"/>
        </w:rPr>
        <w:t>2</w:t>
      </w:r>
      <w:r>
        <w:t>.2</w:t>
      </w:r>
      <w:r>
        <w:t>和</w:t>
      </w:r>
      <w:r>
        <w:t>GB/T 10209</w:t>
      </w:r>
      <w:r>
        <w:t>相关要求的全部需检测项目。</w:t>
      </w:r>
    </w:p>
    <w:p w:rsidR="00E87AEA" w:rsidRDefault="006A25F0">
      <w:pPr>
        <w:pStyle w:val="affd"/>
        <w:jc w:val="left"/>
      </w:pPr>
      <w:r>
        <w:rPr>
          <w:rFonts w:hint="eastAsia"/>
        </w:rPr>
        <w:t>保持性</w:t>
      </w:r>
      <w:r>
        <w:t>复合肥料：总养分、水溶磷</w:t>
      </w:r>
      <w:r>
        <w:t>/</w:t>
      </w:r>
      <w:r>
        <w:t>有效磷、水分、粒度、氯离子、</w:t>
      </w:r>
      <w:r>
        <w:rPr>
          <w:rFonts w:hint="eastAsia"/>
        </w:rPr>
        <w:t>养分保持率、氨挥发减少率</w:t>
      </w:r>
      <w:r>
        <w:t>为出厂检验项目。型式检验包含</w:t>
      </w:r>
      <w:r>
        <w:t>4.1</w:t>
      </w:r>
      <w:r>
        <w:t>、</w:t>
      </w:r>
      <w:r>
        <w:t>4.</w:t>
      </w:r>
      <w:r>
        <w:rPr>
          <w:rFonts w:hint="eastAsia"/>
        </w:rPr>
        <w:t>2</w:t>
      </w:r>
      <w:r>
        <w:t>.3</w:t>
      </w:r>
      <w:r>
        <w:t>和</w:t>
      </w:r>
      <w:r>
        <w:t>GB/T 15063-2009</w:t>
      </w:r>
      <w:r>
        <w:t>相关要求的全部需检测项目。</w:t>
      </w:r>
    </w:p>
    <w:p w:rsidR="00E87AEA" w:rsidRDefault="006A25F0">
      <w:pPr>
        <w:pStyle w:val="affd"/>
        <w:jc w:val="left"/>
      </w:pPr>
      <w:r>
        <w:rPr>
          <w:rFonts w:hint="eastAsia"/>
        </w:rPr>
        <w:t>保持性掺混肥料</w:t>
      </w:r>
      <w:r>
        <w:t>：总养分、水溶磷</w:t>
      </w:r>
      <w:r>
        <w:t>/</w:t>
      </w:r>
      <w:r>
        <w:t>有效磷、水分、粒度、氯离子、</w:t>
      </w:r>
      <w:r>
        <w:rPr>
          <w:rFonts w:hint="eastAsia"/>
        </w:rPr>
        <w:t>养分保持率、氨挥发减少率</w:t>
      </w:r>
      <w:r>
        <w:t>为出厂检验项目。型式检验包含</w:t>
      </w:r>
      <w:r>
        <w:t>4.1</w:t>
      </w:r>
      <w:r>
        <w:t>、</w:t>
      </w:r>
      <w:r>
        <w:t>4.2.4</w:t>
      </w:r>
      <w:r>
        <w:t>和</w:t>
      </w:r>
      <w:r>
        <w:rPr>
          <w:rFonts w:hint="eastAsia"/>
        </w:rPr>
        <w:t>GB</w:t>
      </w:r>
      <w:r>
        <w:t>/T</w:t>
      </w:r>
      <w:r>
        <w:rPr>
          <w:rFonts w:hint="eastAsia"/>
        </w:rPr>
        <w:t xml:space="preserve"> 21633</w:t>
      </w:r>
      <w:r>
        <w:t>-2008</w:t>
      </w:r>
      <w:r>
        <w:t>相关要求的全部需检测项目。</w:t>
      </w:r>
      <w:r>
        <w:rPr>
          <w:rFonts w:hint="eastAsia"/>
        </w:rPr>
        <w:t>型式检验项目在下列情况时测定</w:t>
      </w:r>
      <w:r>
        <w:rPr>
          <w:rFonts w:hint="eastAsia"/>
        </w:rPr>
        <w:t>：</w:t>
      </w:r>
    </w:p>
    <w:p w:rsidR="00E87AEA" w:rsidRDefault="006A25F0">
      <w:pPr>
        <w:pStyle w:val="ac"/>
      </w:pPr>
      <w:r>
        <w:rPr>
          <w:rFonts w:hint="eastAsia"/>
        </w:rPr>
        <w:t>正式生产时，原料、工艺发生变化；</w:t>
      </w:r>
    </w:p>
    <w:p w:rsidR="00E87AEA" w:rsidRDefault="006A25F0">
      <w:pPr>
        <w:pStyle w:val="ac"/>
      </w:pPr>
      <w:r>
        <w:rPr>
          <w:rFonts w:hint="eastAsia"/>
        </w:rPr>
        <w:t>正式生产时，每半年进行一次检验。</w:t>
      </w:r>
    </w:p>
    <w:p w:rsidR="00E87AEA" w:rsidRDefault="006A25F0">
      <w:pPr>
        <w:pStyle w:val="a5"/>
        <w:ind w:left="0"/>
      </w:pPr>
      <w:r>
        <w:rPr>
          <w:rFonts w:hint="eastAsia"/>
        </w:rPr>
        <w:t>组批</w:t>
      </w:r>
    </w:p>
    <w:p w:rsidR="00E87AEA" w:rsidRDefault="006A25F0">
      <w:pPr>
        <w:pStyle w:val="affd"/>
        <w:ind w:firstLineChars="300" w:firstLine="630"/>
      </w:pPr>
      <w:r>
        <w:t>产品按批检验，按</w:t>
      </w:r>
      <w:r>
        <w:t>1</w:t>
      </w:r>
      <w:r>
        <w:t>天或</w:t>
      </w:r>
      <w:r>
        <w:t>2</w:t>
      </w:r>
      <w:r>
        <w:t>天的产量为一批，最大批量为</w:t>
      </w:r>
      <w:r>
        <w:t>1000t</w:t>
      </w:r>
      <w:r>
        <w:t>。</w:t>
      </w:r>
    </w:p>
    <w:p w:rsidR="00E87AEA" w:rsidRDefault="006A25F0">
      <w:pPr>
        <w:pStyle w:val="a5"/>
        <w:ind w:left="0"/>
      </w:pPr>
      <w:r>
        <w:rPr>
          <w:rFonts w:hint="eastAsia"/>
        </w:rPr>
        <w:t>采样方案</w:t>
      </w:r>
    </w:p>
    <w:p w:rsidR="00E87AEA" w:rsidRDefault="006A25F0">
      <w:pPr>
        <w:pStyle w:val="a6"/>
        <w:spacing w:before="156" w:after="156"/>
      </w:pPr>
      <w:r>
        <w:rPr>
          <w:rFonts w:hint="eastAsia"/>
        </w:rPr>
        <w:t>袋装产品</w:t>
      </w:r>
    </w:p>
    <w:p w:rsidR="00E87AEA" w:rsidRDefault="006A25F0">
      <w:pPr>
        <w:pStyle w:val="affd"/>
      </w:pPr>
      <w:r>
        <w:rPr>
          <w:rFonts w:hint="eastAsia"/>
        </w:rPr>
        <w:t>不超过</w:t>
      </w:r>
      <w:r>
        <w:rPr>
          <w:rFonts w:hint="eastAsia"/>
        </w:rPr>
        <w:t xml:space="preserve"> 512 </w:t>
      </w:r>
      <w:r>
        <w:rPr>
          <w:rFonts w:hint="eastAsia"/>
        </w:rPr>
        <w:t>袋时，按表</w:t>
      </w:r>
      <w:r>
        <w:rPr>
          <w:rFonts w:hint="eastAsia"/>
        </w:rPr>
        <w:t xml:space="preserve"> 5 </w:t>
      </w:r>
      <w:r>
        <w:rPr>
          <w:rFonts w:hint="eastAsia"/>
        </w:rPr>
        <w:t>确定采样袋数；大于</w:t>
      </w:r>
      <w:r>
        <w:rPr>
          <w:rFonts w:hint="eastAsia"/>
        </w:rPr>
        <w:t>512</w:t>
      </w:r>
      <w:r>
        <w:rPr>
          <w:rFonts w:hint="eastAsia"/>
        </w:rPr>
        <w:t>袋时，按式（</w:t>
      </w:r>
      <w:r>
        <w:rPr>
          <w:rFonts w:hint="eastAsia"/>
        </w:rPr>
        <w:t>1</w:t>
      </w:r>
      <w:r>
        <w:rPr>
          <w:rFonts w:hint="eastAsia"/>
        </w:rPr>
        <w:t>）计算结果确定最少采样袋数，如遇小数，则进为整数。</w:t>
      </w:r>
    </w:p>
    <w:p w:rsidR="00E87AEA" w:rsidRDefault="006A25F0">
      <w:pPr>
        <w:pStyle w:val="affffff6"/>
      </w:pPr>
      <w:r>
        <w:tab/>
      </w:r>
      <w:r>
        <w:rPr>
          <w:position w:val="-8"/>
        </w:rPr>
        <w:object w:dxaOrig="241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8pt" o:ole="">
            <v:imagedata r:id="rId12" o:title=""/>
          </v:shape>
          <o:OLEObject Type="Embed" ProgID="Equation.3" ShapeID="_x0000_i1025" DrawAspect="Content" ObjectID="_1565430030" r:id="rId13"/>
        </w:object>
      </w:r>
      <w:r>
        <w:tab/>
        <w:t>(</w:t>
      </w:r>
      <w:r>
        <w:fldChar w:fldCharType="begin"/>
      </w:r>
      <w:r>
        <w:instrText xml:space="preserve"> SEQ </w:instrText>
      </w:r>
      <w:r>
        <w:instrText>标准自动公式</w:instrText>
      </w:r>
      <w:r>
        <w:instrText xml:space="preserve"> \* ARABIC </w:instrText>
      </w:r>
      <w:r>
        <w:fldChar w:fldCharType="separate"/>
      </w:r>
      <w:r>
        <w:t>1</w:t>
      </w:r>
      <w:r>
        <w:fldChar w:fldCharType="end"/>
      </w:r>
      <w:r>
        <w:t>)</w:t>
      </w:r>
    </w:p>
    <w:p w:rsidR="00E87AEA" w:rsidRDefault="006A25F0">
      <w:pPr>
        <w:pStyle w:val="affd"/>
      </w:pPr>
      <w:r>
        <w:rPr>
          <w:rFonts w:hint="eastAsia"/>
        </w:rPr>
        <w:t>式中：</w:t>
      </w:r>
    </w:p>
    <w:p w:rsidR="00E87AEA" w:rsidRDefault="006A25F0">
      <w:pPr>
        <w:pStyle w:val="affd"/>
      </w:pPr>
      <w:r>
        <w:rPr>
          <w:rFonts w:hint="eastAsia"/>
        </w:rPr>
        <w:t>N</w:t>
      </w:r>
      <w:r>
        <w:rPr>
          <w:rFonts w:hint="eastAsia"/>
        </w:rPr>
        <w:t>——每批产品总袋数。</w:t>
      </w:r>
    </w:p>
    <w:p w:rsidR="00E87AEA" w:rsidRDefault="006A25F0" w:rsidP="00397107">
      <w:pPr>
        <w:pStyle w:val="af7"/>
      </w:pPr>
      <w:r>
        <w:rPr>
          <w:rFonts w:hint="eastAsia"/>
        </w:rPr>
        <w:t>采样袋数的确定</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2"/>
        <w:gridCol w:w="2392"/>
        <w:gridCol w:w="2393"/>
        <w:gridCol w:w="2393"/>
      </w:tblGrid>
      <w:tr w:rsidR="00E87AEA">
        <w:tc>
          <w:tcPr>
            <w:tcW w:w="2392" w:type="dxa"/>
            <w:vAlign w:val="center"/>
          </w:tcPr>
          <w:p w:rsidR="00E87AEA" w:rsidRDefault="006A25F0">
            <w:pPr>
              <w:pStyle w:val="affd"/>
              <w:ind w:firstLineChars="0" w:firstLine="0"/>
              <w:jc w:val="center"/>
              <w:rPr>
                <w:sz w:val="18"/>
                <w:szCs w:val="18"/>
              </w:rPr>
            </w:pPr>
            <w:r>
              <w:rPr>
                <w:rFonts w:hint="eastAsia"/>
                <w:sz w:val="18"/>
                <w:szCs w:val="18"/>
              </w:rPr>
              <w:t>总袋数</w:t>
            </w:r>
          </w:p>
        </w:tc>
        <w:tc>
          <w:tcPr>
            <w:tcW w:w="2392" w:type="dxa"/>
            <w:vAlign w:val="center"/>
          </w:tcPr>
          <w:p w:rsidR="00E87AEA" w:rsidRDefault="006A25F0">
            <w:pPr>
              <w:pStyle w:val="affd"/>
              <w:ind w:firstLineChars="0" w:firstLine="0"/>
              <w:jc w:val="center"/>
              <w:rPr>
                <w:sz w:val="18"/>
                <w:szCs w:val="18"/>
              </w:rPr>
            </w:pPr>
            <w:r>
              <w:rPr>
                <w:rFonts w:hint="eastAsia"/>
                <w:sz w:val="18"/>
                <w:szCs w:val="18"/>
              </w:rPr>
              <w:t>最少采样袋数</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总袋数</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最少采样袋数</w:t>
            </w:r>
          </w:p>
        </w:tc>
      </w:tr>
      <w:tr w:rsidR="00E87AEA">
        <w:tc>
          <w:tcPr>
            <w:tcW w:w="2392" w:type="dxa"/>
            <w:vAlign w:val="center"/>
          </w:tcPr>
          <w:p w:rsidR="00E87AEA" w:rsidRDefault="006A25F0">
            <w:pPr>
              <w:pStyle w:val="affd"/>
              <w:ind w:firstLineChars="0" w:firstLine="0"/>
              <w:jc w:val="center"/>
              <w:rPr>
                <w:sz w:val="18"/>
                <w:szCs w:val="18"/>
              </w:rPr>
            </w:pPr>
            <w:r>
              <w:rPr>
                <w:rFonts w:hint="eastAsia"/>
                <w:sz w:val="18"/>
                <w:szCs w:val="18"/>
              </w:rPr>
              <w:t>1</w:t>
            </w:r>
            <w:r>
              <w:rPr>
                <w:rFonts w:hint="eastAsia"/>
                <w:sz w:val="18"/>
                <w:szCs w:val="18"/>
              </w:rPr>
              <w:t>～</w:t>
            </w:r>
            <w:r>
              <w:rPr>
                <w:rFonts w:hint="eastAsia"/>
                <w:sz w:val="18"/>
                <w:szCs w:val="18"/>
              </w:rPr>
              <w:t>10</w:t>
            </w:r>
          </w:p>
        </w:tc>
        <w:tc>
          <w:tcPr>
            <w:tcW w:w="2392" w:type="dxa"/>
            <w:vAlign w:val="center"/>
          </w:tcPr>
          <w:p w:rsidR="00E87AEA" w:rsidRDefault="006A25F0">
            <w:pPr>
              <w:pStyle w:val="affd"/>
              <w:ind w:firstLineChars="0" w:firstLine="0"/>
              <w:jc w:val="center"/>
              <w:rPr>
                <w:sz w:val="18"/>
                <w:szCs w:val="18"/>
              </w:rPr>
            </w:pPr>
            <w:r>
              <w:rPr>
                <w:rFonts w:hint="eastAsia"/>
                <w:sz w:val="18"/>
                <w:szCs w:val="18"/>
              </w:rPr>
              <w:t>全部</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182</w:t>
            </w:r>
            <w:r>
              <w:rPr>
                <w:rFonts w:hint="eastAsia"/>
                <w:sz w:val="18"/>
                <w:szCs w:val="18"/>
              </w:rPr>
              <w:t>～</w:t>
            </w:r>
            <w:r>
              <w:rPr>
                <w:rFonts w:hint="eastAsia"/>
                <w:sz w:val="18"/>
                <w:szCs w:val="18"/>
              </w:rPr>
              <w:t>216</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18</w:t>
            </w:r>
          </w:p>
        </w:tc>
      </w:tr>
      <w:tr w:rsidR="00E87AEA">
        <w:tc>
          <w:tcPr>
            <w:tcW w:w="2392" w:type="dxa"/>
            <w:vAlign w:val="center"/>
          </w:tcPr>
          <w:p w:rsidR="00E87AEA" w:rsidRDefault="006A25F0">
            <w:pPr>
              <w:pStyle w:val="affd"/>
              <w:ind w:firstLineChars="0" w:firstLine="0"/>
              <w:jc w:val="center"/>
              <w:rPr>
                <w:sz w:val="18"/>
                <w:szCs w:val="18"/>
              </w:rPr>
            </w:pPr>
            <w:r>
              <w:rPr>
                <w:rFonts w:hint="eastAsia"/>
                <w:sz w:val="18"/>
                <w:szCs w:val="18"/>
              </w:rPr>
              <w:t>11</w:t>
            </w:r>
            <w:r>
              <w:rPr>
                <w:rFonts w:hint="eastAsia"/>
                <w:sz w:val="18"/>
                <w:szCs w:val="18"/>
              </w:rPr>
              <w:t>～</w:t>
            </w:r>
            <w:r>
              <w:rPr>
                <w:rFonts w:hint="eastAsia"/>
                <w:sz w:val="18"/>
                <w:szCs w:val="18"/>
              </w:rPr>
              <w:t>49</w:t>
            </w:r>
          </w:p>
        </w:tc>
        <w:tc>
          <w:tcPr>
            <w:tcW w:w="2392" w:type="dxa"/>
            <w:vAlign w:val="center"/>
          </w:tcPr>
          <w:p w:rsidR="00E87AEA" w:rsidRDefault="006A25F0">
            <w:pPr>
              <w:pStyle w:val="affd"/>
              <w:ind w:firstLineChars="0" w:firstLine="0"/>
              <w:jc w:val="center"/>
              <w:rPr>
                <w:sz w:val="18"/>
                <w:szCs w:val="18"/>
              </w:rPr>
            </w:pPr>
            <w:r>
              <w:rPr>
                <w:rFonts w:hint="eastAsia"/>
                <w:sz w:val="18"/>
                <w:szCs w:val="18"/>
              </w:rPr>
              <w:t>11</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217</w:t>
            </w:r>
            <w:r>
              <w:rPr>
                <w:rFonts w:hint="eastAsia"/>
                <w:sz w:val="18"/>
                <w:szCs w:val="18"/>
              </w:rPr>
              <w:t>～</w:t>
            </w:r>
            <w:r>
              <w:rPr>
                <w:rFonts w:hint="eastAsia"/>
                <w:sz w:val="18"/>
                <w:szCs w:val="18"/>
              </w:rPr>
              <w:t>254</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19</w:t>
            </w:r>
          </w:p>
        </w:tc>
      </w:tr>
      <w:tr w:rsidR="00E87AEA">
        <w:tc>
          <w:tcPr>
            <w:tcW w:w="2392" w:type="dxa"/>
            <w:vAlign w:val="center"/>
          </w:tcPr>
          <w:p w:rsidR="00E87AEA" w:rsidRDefault="006A25F0">
            <w:pPr>
              <w:pStyle w:val="affd"/>
              <w:ind w:firstLineChars="0" w:firstLine="0"/>
              <w:jc w:val="center"/>
              <w:rPr>
                <w:sz w:val="18"/>
                <w:szCs w:val="18"/>
              </w:rPr>
            </w:pPr>
            <w:r>
              <w:rPr>
                <w:rFonts w:hint="eastAsia"/>
                <w:sz w:val="18"/>
                <w:szCs w:val="18"/>
              </w:rPr>
              <w:t>50</w:t>
            </w:r>
            <w:r>
              <w:rPr>
                <w:rFonts w:hint="eastAsia"/>
                <w:sz w:val="18"/>
                <w:szCs w:val="18"/>
              </w:rPr>
              <w:t>～</w:t>
            </w:r>
            <w:r>
              <w:rPr>
                <w:rFonts w:hint="eastAsia"/>
                <w:sz w:val="18"/>
                <w:szCs w:val="18"/>
              </w:rPr>
              <w:t>64</w:t>
            </w:r>
          </w:p>
        </w:tc>
        <w:tc>
          <w:tcPr>
            <w:tcW w:w="2392" w:type="dxa"/>
            <w:vAlign w:val="center"/>
          </w:tcPr>
          <w:p w:rsidR="00E87AEA" w:rsidRDefault="006A25F0">
            <w:pPr>
              <w:pStyle w:val="affd"/>
              <w:ind w:firstLineChars="0" w:firstLine="0"/>
              <w:jc w:val="center"/>
              <w:rPr>
                <w:sz w:val="18"/>
                <w:szCs w:val="18"/>
              </w:rPr>
            </w:pPr>
            <w:r>
              <w:rPr>
                <w:rFonts w:hint="eastAsia"/>
                <w:sz w:val="18"/>
                <w:szCs w:val="18"/>
              </w:rPr>
              <w:t>12</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255</w:t>
            </w:r>
            <w:r>
              <w:rPr>
                <w:rFonts w:hint="eastAsia"/>
                <w:sz w:val="18"/>
                <w:szCs w:val="18"/>
              </w:rPr>
              <w:t>～</w:t>
            </w:r>
            <w:r>
              <w:rPr>
                <w:rFonts w:hint="eastAsia"/>
                <w:sz w:val="18"/>
                <w:szCs w:val="18"/>
              </w:rPr>
              <w:t>296</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20</w:t>
            </w:r>
          </w:p>
        </w:tc>
      </w:tr>
      <w:tr w:rsidR="00E87AEA">
        <w:tc>
          <w:tcPr>
            <w:tcW w:w="2392" w:type="dxa"/>
            <w:vAlign w:val="center"/>
          </w:tcPr>
          <w:p w:rsidR="00E87AEA" w:rsidRDefault="006A25F0">
            <w:pPr>
              <w:pStyle w:val="affd"/>
              <w:ind w:firstLineChars="0" w:firstLine="0"/>
              <w:jc w:val="center"/>
              <w:rPr>
                <w:sz w:val="18"/>
                <w:szCs w:val="18"/>
              </w:rPr>
            </w:pPr>
            <w:r>
              <w:rPr>
                <w:rFonts w:hint="eastAsia"/>
                <w:sz w:val="18"/>
                <w:szCs w:val="18"/>
              </w:rPr>
              <w:t>65</w:t>
            </w:r>
            <w:r>
              <w:rPr>
                <w:rFonts w:hint="eastAsia"/>
                <w:sz w:val="18"/>
                <w:szCs w:val="18"/>
              </w:rPr>
              <w:t>～</w:t>
            </w:r>
            <w:r>
              <w:rPr>
                <w:rFonts w:hint="eastAsia"/>
                <w:sz w:val="18"/>
                <w:szCs w:val="18"/>
              </w:rPr>
              <w:t>81</w:t>
            </w:r>
          </w:p>
        </w:tc>
        <w:tc>
          <w:tcPr>
            <w:tcW w:w="2392" w:type="dxa"/>
            <w:vAlign w:val="center"/>
          </w:tcPr>
          <w:p w:rsidR="00E87AEA" w:rsidRDefault="006A25F0">
            <w:pPr>
              <w:pStyle w:val="affd"/>
              <w:ind w:firstLineChars="0" w:firstLine="0"/>
              <w:jc w:val="center"/>
              <w:rPr>
                <w:sz w:val="18"/>
                <w:szCs w:val="18"/>
              </w:rPr>
            </w:pPr>
            <w:r>
              <w:rPr>
                <w:rFonts w:hint="eastAsia"/>
                <w:sz w:val="18"/>
                <w:szCs w:val="18"/>
              </w:rPr>
              <w:t>13</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297</w:t>
            </w:r>
            <w:r>
              <w:rPr>
                <w:rFonts w:hint="eastAsia"/>
                <w:sz w:val="18"/>
                <w:szCs w:val="18"/>
              </w:rPr>
              <w:t>～</w:t>
            </w:r>
            <w:r>
              <w:rPr>
                <w:rFonts w:hint="eastAsia"/>
                <w:sz w:val="18"/>
                <w:szCs w:val="18"/>
              </w:rPr>
              <w:t>343</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21</w:t>
            </w:r>
          </w:p>
        </w:tc>
      </w:tr>
      <w:tr w:rsidR="00E87AEA">
        <w:tc>
          <w:tcPr>
            <w:tcW w:w="2392" w:type="dxa"/>
            <w:vAlign w:val="center"/>
          </w:tcPr>
          <w:p w:rsidR="00E87AEA" w:rsidRDefault="006A25F0">
            <w:pPr>
              <w:pStyle w:val="affd"/>
              <w:ind w:firstLineChars="0" w:firstLine="0"/>
              <w:jc w:val="center"/>
              <w:rPr>
                <w:sz w:val="18"/>
                <w:szCs w:val="18"/>
              </w:rPr>
            </w:pPr>
            <w:r>
              <w:rPr>
                <w:rFonts w:hint="eastAsia"/>
                <w:sz w:val="18"/>
                <w:szCs w:val="18"/>
              </w:rPr>
              <w:t>82</w:t>
            </w:r>
            <w:r>
              <w:rPr>
                <w:rFonts w:hint="eastAsia"/>
                <w:sz w:val="18"/>
                <w:szCs w:val="18"/>
              </w:rPr>
              <w:t>～</w:t>
            </w:r>
            <w:r>
              <w:rPr>
                <w:rFonts w:hint="eastAsia"/>
                <w:sz w:val="18"/>
                <w:szCs w:val="18"/>
              </w:rPr>
              <w:t>101</w:t>
            </w:r>
          </w:p>
        </w:tc>
        <w:tc>
          <w:tcPr>
            <w:tcW w:w="2392" w:type="dxa"/>
            <w:vAlign w:val="center"/>
          </w:tcPr>
          <w:p w:rsidR="00E87AEA" w:rsidRDefault="006A25F0">
            <w:pPr>
              <w:pStyle w:val="affd"/>
              <w:ind w:firstLineChars="0" w:firstLine="0"/>
              <w:jc w:val="center"/>
              <w:rPr>
                <w:sz w:val="18"/>
                <w:szCs w:val="18"/>
              </w:rPr>
            </w:pPr>
            <w:r>
              <w:rPr>
                <w:rFonts w:hint="eastAsia"/>
                <w:sz w:val="18"/>
                <w:szCs w:val="18"/>
              </w:rPr>
              <w:t>14</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344</w:t>
            </w:r>
            <w:r>
              <w:rPr>
                <w:rFonts w:hint="eastAsia"/>
                <w:sz w:val="18"/>
                <w:szCs w:val="18"/>
              </w:rPr>
              <w:t>～</w:t>
            </w:r>
            <w:r>
              <w:rPr>
                <w:rFonts w:hint="eastAsia"/>
                <w:sz w:val="18"/>
                <w:szCs w:val="18"/>
              </w:rPr>
              <w:t>394</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22</w:t>
            </w:r>
          </w:p>
        </w:tc>
      </w:tr>
      <w:tr w:rsidR="00E87AEA">
        <w:tc>
          <w:tcPr>
            <w:tcW w:w="2392" w:type="dxa"/>
            <w:vAlign w:val="center"/>
          </w:tcPr>
          <w:p w:rsidR="00E87AEA" w:rsidRDefault="006A25F0">
            <w:pPr>
              <w:pStyle w:val="affd"/>
              <w:ind w:firstLineChars="0" w:firstLine="0"/>
              <w:jc w:val="center"/>
              <w:rPr>
                <w:sz w:val="18"/>
                <w:szCs w:val="18"/>
              </w:rPr>
            </w:pPr>
            <w:r>
              <w:rPr>
                <w:rFonts w:hint="eastAsia"/>
                <w:sz w:val="18"/>
                <w:szCs w:val="18"/>
              </w:rPr>
              <w:t>102</w:t>
            </w:r>
            <w:r>
              <w:rPr>
                <w:rFonts w:hint="eastAsia"/>
                <w:sz w:val="18"/>
                <w:szCs w:val="18"/>
              </w:rPr>
              <w:t>～</w:t>
            </w:r>
            <w:r>
              <w:rPr>
                <w:rFonts w:hint="eastAsia"/>
                <w:sz w:val="18"/>
                <w:szCs w:val="18"/>
              </w:rPr>
              <w:t>125</w:t>
            </w:r>
          </w:p>
        </w:tc>
        <w:tc>
          <w:tcPr>
            <w:tcW w:w="2392" w:type="dxa"/>
            <w:vAlign w:val="center"/>
          </w:tcPr>
          <w:p w:rsidR="00E87AEA" w:rsidRDefault="006A25F0">
            <w:pPr>
              <w:pStyle w:val="affd"/>
              <w:ind w:firstLineChars="0" w:firstLine="0"/>
              <w:jc w:val="center"/>
              <w:rPr>
                <w:sz w:val="18"/>
                <w:szCs w:val="18"/>
              </w:rPr>
            </w:pPr>
            <w:r>
              <w:rPr>
                <w:rFonts w:hint="eastAsia"/>
                <w:sz w:val="18"/>
                <w:szCs w:val="18"/>
              </w:rPr>
              <w:t>15</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395</w:t>
            </w:r>
            <w:r>
              <w:rPr>
                <w:rFonts w:hint="eastAsia"/>
                <w:sz w:val="18"/>
                <w:szCs w:val="18"/>
              </w:rPr>
              <w:t>～</w:t>
            </w:r>
            <w:r>
              <w:rPr>
                <w:rFonts w:hint="eastAsia"/>
                <w:sz w:val="18"/>
                <w:szCs w:val="18"/>
              </w:rPr>
              <w:t>450</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23</w:t>
            </w:r>
          </w:p>
        </w:tc>
      </w:tr>
      <w:tr w:rsidR="00E87AEA">
        <w:tc>
          <w:tcPr>
            <w:tcW w:w="2392" w:type="dxa"/>
            <w:vAlign w:val="center"/>
          </w:tcPr>
          <w:p w:rsidR="00E87AEA" w:rsidRDefault="006A25F0">
            <w:pPr>
              <w:pStyle w:val="affd"/>
              <w:ind w:firstLineChars="0" w:firstLine="0"/>
              <w:jc w:val="center"/>
              <w:rPr>
                <w:sz w:val="18"/>
                <w:szCs w:val="18"/>
              </w:rPr>
            </w:pPr>
            <w:r>
              <w:rPr>
                <w:rFonts w:hint="eastAsia"/>
                <w:sz w:val="18"/>
                <w:szCs w:val="18"/>
              </w:rPr>
              <w:t>126</w:t>
            </w:r>
            <w:r>
              <w:rPr>
                <w:rFonts w:hint="eastAsia"/>
                <w:sz w:val="18"/>
                <w:szCs w:val="18"/>
              </w:rPr>
              <w:t>～</w:t>
            </w:r>
            <w:r>
              <w:rPr>
                <w:rFonts w:hint="eastAsia"/>
                <w:sz w:val="18"/>
                <w:szCs w:val="18"/>
              </w:rPr>
              <w:t>151</w:t>
            </w:r>
          </w:p>
        </w:tc>
        <w:tc>
          <w:tcPr>
            <w:tcW w:w="2392" w:type="dxa"/>
            <w:vAlign w:val="center"/>
          </w:tcPr>
          <w:p w:rsidR="00E87AEA" w:rsidRDefault="006A25F0">
            <w:pPr>
              <w:pStyle w:val="affd"/>
              <w:ind w:firstLineChars="0" w:firstLine="0"/>
              <w:jc w:val="center"/>
              <w:rPr>
                <w:sz w:val="18"/>
                <w:szCs w:val="18"/>
              </w:rPr>
            </w:pPr>
            <w:r>
              <w:rPr>
                <w:rFonts w:hint="eastAsia"/>
                <w:sz w:val="18"/>
                <w:szCs w:val="18"/>
              </w:rPr>
              <w:t>16</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451</w:t>
            </w:r>
            <w:r>
              <w:rPr>
                <w:rFonts w:hint="eastAsia"/>
                <w:sz w:val="18"/>
                <w:szCs w:val="18"/>
              </w:rPr>
              <w:t>～</w:t>
            </w:r>
            <w:r>
              <w:rPr>
                <w:rFonts w:hint="eastAsia"/>
                <w:sz w:val="18"/>
                <w:szCs w:val="18"/>
              </w:rPr>
              <w:t>512</w:t>
            </w:r>
          </w:p>
        </w:tc>
        <w:tc>
          <w:tcPr>
            <w:tcW w:w="2393" w:type="dxa"/>
            <w:vAlign w:val="center"/>
          </w:tcPr>
          <w:p w:rsidR="00E87AEA" w:rsidRDefault="006A25F0">
            <w:pPr>
              <w:pStyle w:val="affd"/>
              <w:ind w:firstLineChars="0" w:firstLine="0"/>
              <w:jc w:val="center"/>
              <w:rPr>
                <w:sz w:val="18"/>
                <w:szCs w:val="18"/>
              </w:rPr>
            </w:pPr>
            <w:r>
              <w:rPr>
                <w:rFonts w:hint="eastAsia"/>
                <w:sz w:val="18"/>
                <w:szCs w:val="18"/>
              </w:rPr>
              <w:t>24</w:t>
            </w:r>
          </w:p>
        </w:tc>
      </w:tr>
      <w:tr w:rsidR="00E87AEA">
        <w:tc>
          <w:tcPr>
            <w:tcW w:w="2392" w:type="dxa"/>
            <w:vAlign w:val="center"/>
          </w:tcPr>
          <w:p w:rsidR="00E87AEA" w:rsidRDefault="006A25F0">
            <w:pPr>
              <w:pStyle w:val="affd"/>
              <w:ind w:firstLineChars="0" w:firstLine="0"/>
              <w:jc w:val="center"/>
              <w:rPr>
                <w:sz w:val="18"/>
                <w:szCs w:val="18"/>
              </w:rPr>
            </w:pPr>
            <w:r>
              <w:rPr>
                <w:rFonts w:hint="eastAsia"/>
                <w:sz w:val="18"/>
                <w:szCs w:val="18"/>
              </w:rPr>
              <w:t>152</w:t>
            </w:r>
            <w:r>
              <w:rPr>
                <w:rFonts w:hint="eastAsia"/>
                <w:sz w:val="18"/>
                <w:szCs w:val="18"/>
              </w:rPr>
              <w:t>～</w:t>
            </w:r>
            <w:r>
              <w:rPr>
                <w:rFonts w:hint="eastAsia"/>
                <w:sz w:val="18"/>
                <w:szCs w:val="18"/>
              </w:rPr>
              <w:t>181</w:t>
            </w:r>
          </w:p>
        </w:tc>
        <w:tc>
          <w:tcPr>
            <w:tcW w:w="2392" w:type="dxa"/>
            <w:vAlign w:val="center"/>
          </w:tcPr>
          <w:p w:rsidR="00E87AEA" w:rsidRDefault="006A25F0">
            <w:pPr>
              <w:pStyle w:val="affd"/>
              <w:ind w:firstLineChars="0" w:firstLine="0"/>
              <w:jc w:val="center"/>
              <w:rPr>
                <w:sz w:val="18"/>
                <w:szCs w:val="18"/>
              </w:rPr>
            </w:pPr>
            <w:r>
              <w:rPr>
                <w:rFonts w:hint="eastAsia"/>
                <w:sz w:val="18"/>
                <w:szCs w:val="18"/>
              </w:rPr>
              <w:t>17</w:t>
            </w:r>
          </w:p>
        </w:tc>
        <w:tc>
          <w:tcPr>
            <w:tcW w:w="2393" w:type="dxa"/>
            <w:vAlign w:val="center"/>
          </w:tcPr>
          <w:p w:rsidR="00E87AEA" w:rsidRDefault="00E87AEA">
            <w:pPr>
              <w:pStyle w:val="affd"/>
              <w:ind w:firstLineChars="0" w:firstLine="0"/>
              <w:jc w:val="center"/>
              <w:rPr>
                <w:sz w:val="18"/>
                <w:szCs w:val="18"/>
              </w:rPr>
            </w:pPr>
          </w:p>
        </w:tc>
        <w:tc>
          <w:tcPr>
            <w:tcW w:w="2393" w:type="dxa"/>
            <w:vAlign w:val="center"/>
          </w:tcPr>
          <w:p w:rsidR="00E87AEA" w:rsidRDefault="00E87AEA">
            <w:pPr>
              <w:pStyle w:val="affd"/>
              <w:ind w:firstLineChars="0" w:firstLine="0"/>
              <w:jc w:val="center"/>
              <w:rPr>
                <w:sz w:val="18"/>
                <w:szCs w:val="18"/>
              </w:rPr>
            </w:pPr>
          </w:p>
        </w:tc>
      </w:tr>
    </w:tbl>
    <w:p w:rsidR="00E87AEA" w:rsidRDefault="006A25F0">
      <w:pPr>
        <w:pStyle w:val="affd"/>
      </w:pPr>
      <w:r>
        <w:rPr>
          <w:rFonts w:hint="eastAsia"/>
        </w:rPr>
        <w:t>按表</w:t>
      </w:r>
      <w:r>
        <w:rPr>
          <w:rFonts w:hint="eastAsia"/>
        </w:rPr>
        <w:t xml:space="preserve"> 5 </w:t>
      </w:r>
      <w:r>
        <w:rPr>
          <w:rFonts w:hint="eastAsia"/>
        </w:rPr>
        <w:t>或式（</w:t>
      </w:r>
      <w:r>
        <w:rPr>
          <w:rFonts w:hint="eastAsia"/>
        </w:rPr>
        <w:t>1</w:t>
      </w:r>
      <w:r>
        <w:rPr>
          <w:rFonts w:hint="eastAsia"/>
        </w:rPr>
        <w:t>）计算结果随机抽取一定袋数，用采样器沿每袋最长对角线插入至袋的</w:t>
      </w:r>
      <w:r>
        <w:rPr>
          <w:rFonts w:hint="eastAsia"/>
        </w:rPr>
        <w:t>3/4</w:t>
      </w:r>
      <w:r>
        <w:rPr>
          <w:rFonts w:hint="eastAsia"/>
        </w:rPr>
        <w:t>处，每袋取出不少于</w:t>
      </w:r>
      <w:r>
        <w:rPr>
          <w:rFonts w:hint="eastAsia"/>
        </w:rPr>
        <w:t>100g</w:t>
      </w:r>
      <w:r>
        <w:rPr>
          <w:rFonts w:hint="eastAsia"/>
        </w:rPr>
        <w:t>样品，每批采取总样品量不少于</w:t>
      </w:r>
      <w:r>
        <w:rPr>
          <w:rFonts w:hint="eastAsia"/>
        </w:rPr>
        <w:t>2kg</w:t>
      </w:r>
      <w:r>
        <w:rPr>
          <w:rFonts w:hint="eastAsia"/>
        </w:rPr>
        <w:t>。</w:t>
      </w:r>
    </w:p>
    <w:p w:rsidR="00E87AEA" w:rsidRDefault="006A25F0">
      <w:pPr>
        <w:pStyle w:val="a6"/>
        <w:spacing w:before="156" w:after="156"/>
      </w:pPr>
      <w:r>
        <w:rPr>
          <w:rFonts w:hint="eastAsia"/>
        </w:rPr>
        <w:t>散装产品</w:t>
      </w:r>
    </w:p>
    <w:p w:rsidR="00E87AEA" w:rsidRDefault="006A25F0">
      <w:pPr>
        <w:pStyle w:val="affd"/>
      </w:pPr>
      <w:r>
        <w:rPr>
          <w:rFonts w:hint="eastAsia"/>
        </w:rPr>
        <w:t>按</w:t>
      </w:r>
      <w:r>
        <w:rPr>
          <w:rFonts w:hint="eastAsia"/>
        </w:rPr>
        <w:t xml:space="preserve"> GB/T 6679</w:t>
      </w:r>
      <w:r>
        <w:rPr>
          <w:rFonts w:hint="eastAsia"/>
        </w:rPr>
        <w:t>的规定执行。</w:t>
      </w:r>
    </w:p>
    <w:p w:rsidR="00E87AEA" w:rsidRDefault="006A25F0">
      <w:pPr>
        <w:pStyle w:val="a5"/>
        <w:ind w:left="0"/>
      </w:pPr>
      <w:r>
        <w:rPr>
          <w:rFonts w:hint="eastAsia"/>
        </w:rPr>
        <w:lastRenderedPageBreak/>
        <w:t>样品缩分和试样制备</w:t>
      </w:r>
    </w:p>
    <w:p w:rsidR="00E87AEA" w:rsidRDefault="006A25F0">
      <w:pPr>
        <w:pStyle w:val="a6"/>
        <w:spacing w:before="156" w:after="156"/>
      </w:pPr>
      <w:r>
        <w:rPr>
          <w:rFonts w:hint="eastAsia"/>
        </w:rPr>
        <w:t>样品缩分</w:t>
      </w:r>
    </w:p>
    <w:p w:rsidR="00E87AEA" w:rsidRDefault="006A25F0">
      <w:pPr>
        <w:pStyle w:val="affd"/>
      </w:pPr>
      <w:r>
        <w:rPr>
          <w:rFonts w:hint="eastAsia"/>
        </w:rPr>
        <w:t>将采取的样品迅速混匀，用缩分器或四分法将样品缩分至约</w:t>
      </w:r>
      <w:r>
        <w:rPr>
          <w:rFonts w:hint="eastAsia"/>
        </w:rPr>
        <w:t>1kg</w:t>
      </w:r>
      <w:r>
        <w:rPr>
          <w:rFonts w:hint="eastAsia"/>
        </w:rPr>
        <w:t>，再缩分成两份，分装于两个洁净、干燥的</w:t>
      </w:r>
      <w:r>
        <w:rPr>
          <w:rFonts w:hint="eastAsia"/>
        </w:rPr>
        <w:t>500mL</w:t>
      </w:r>
      <w:r>
        <w:rPr>
          <w:rFonts w:hint="eastAsia"/>
        </w:rPr>
        <w:t>具有磨口塞的玻璃瓶或塑料瓶中（生产企业的质检部门可用洁净干燥的塑料自封袋盛装样品），密封并贴上标签，注明生产企业名称、产品名称、批号或生产日期、取样日期和取样人姓名，一瓶做产品质量分析，另一瓶保存两个月，以备查用。</w:t>
      </w:r>
    </w:p>
    <w:p w:rsidR="00E87AEA" w:rsidRDefault="006A25F0">
      <w:pPr>
        <w:pStyle w:val="a6"/>
        <w:spacing w:before="156" w:after="156"/>
      </w:pPr>
      <w:r>
        <w:rPr>
          <w:rFonts w:hint="eastAsia"/>
        </w:rPr>
        <w:t>试样制备</w:t>
      </w:r>
    </w:p>
    <w:p w:rsidR="00E87AEA" w:rsidRDefault="006A25F0">
      <w:pPr>
        <w:pStyle w:val="affd"/>
      </w:pPr>
      <w:r>
        <w:rPr>
          <w:rFonts w:hint="eastAsia"/>
        </w:rPr>
        <w:t>由</w:t>
      </w:r>
      <w:r>
        <w:rPr>
          <w:rFonts w:hint="eastAsia"/>
        </w:rPr>
        <w:t>6.4.1</w:t>
      </w:r>
      <w:r>
        <w:rPr>
          <w:rFonts w:hint="eastAsia"/>
        </w:rPr>
        <w:t>中取一瓶样品，经多次缩分后取出约</w:t>
      </w:r>
      <w:r>
        <w:rPr>
          <w:rFonts w:hint="eastAsia"/>
        </w:rPr>
        <w:t>100g</w:t>
      </w:r>
      <w:r>
        <w:rPr>
          <w:rFonts w:hint="eastAsia"/>
        </w:rPr>
        <w:t>样品，迅速研磨至全部通过</w:t>
      </w:r>
      <w:r>
        <w:rPr>
          <w:rFonts w:hint="eastAsia"/>
        </w:rPr>
        <w:t>0.</w:t>
      </w:r>
      <w:r>
        <w:rPr>
          <w:rFonts w:hint="eastAsia"/>
        </w:rPr>
        <w:t>25</w:t>
      </w:r>
      <w:r>
        <w:rPr>
          <w:rFonts w:hint="eastAsia"/>
        </w:rPr>
        <w:t>mm</w:t>
      </w:r>
      <w:r>
        <w:rPr>
          <w:rFonts w:hint="eastAsia"/>
        </w:rPr>
        <w:t>孔径试验筛子（如样品潮湿或很难粉碎，可研磨至全通过</w:t>
      </w:r>
      <w:r>
        <w:rPr>
          <w:rFonts w:hint="eastAsia"/>
        </w:rPr>
        <w:t>1.00</w:t>
      </w:r>
      <w:r>
        <w:rPr>
          <w:rFonts w:hint="eastAsia"/>
        </w:rPr>
        <w:t>mm</w:t>
      </w:r>
      <w:r>
        <w:rPr>
          <w:rFonts w:hint="eastAsia"/>
        </w:rPr>
        <w:t>孔径试验筛），混匀，置于洁净、干燥的瓶中，做成分分析和养分保持率、氨挥发减少率检测。余下样品供粒度测定用。</w:t>
      </w:r>
    </w:p>
    <w:p w:rsidR="00E87AEA" w:rsidRDefault="006A25F0">
      <w:pPr>
        <w:pStyle w:val="a5"/>
        <w:ind w:left="0"/>
      </w:pPr>
      <w:r>
        <w:rPr>
          <w:rFonts w:hint="eastAsia"/>
        </w:rPr>
        <w:t>结果判定</w:t>
      </w:r>
    </w:p>
    <w:p w:rsidR="00E87AEA" w:rsidRDefault="006A25F0">
      <w:pPr>
        <w:pStyle w:val="afffa"/>
      </w:pPr>
      <w:r>
        <w:rPr>
          <w:rFonts w:hint="eastAsia"/>
        </w:rPr>
        <w:t>本标准中产品质量指标合格判定，采用</w:t>
      </w:r>
      <w:r>
        <w:rPr>
          <w:rFonts w:hint="eastAsia"/>
        </w:rPr>
        <w:t>GB/T 8170</w:t>
      </w:r>
      <w:r>
        <w:rPr>
          <w:rFonts w:hint="eastAsia"/>
        </w:rPr>
        <w:t>中“修约值比较法”。</w:t>
      </w:r>
    </w:p>
    <w:p w:rsidR="00E87AEA" w:rsidRDefault="006A25F0">
      <w:pPr>
        <w:pStyle w:val="afffa"/>
      </w:pPr>
      <w:r>
        <w:rPr>
          <w:rFonts w:hint="eastAsia"/>
        </w:rPr>
        <w:t>出厂检验的项目全部符合本标准要求时，判该批产品合格。</w:t>
      </w:r>
    </w:p>
    <w:p w:rsidR="00E87AEA" w:rsidRDefault="006A25F0">
      <w:pPr>
        <w:pStyle w:val="afffa"/>
      </w:pPr>
      <w:r>
        <w:rPr>
          <w:rFonts w:hint="eastAsia"/>
        </w:rPr>
        <w:t>如果检验结果中有一项指标不符合本标准要求时，应重新自二倍量的包装袋中采取样品进行检验，重新检验结果中，即使有一项指标不符合本标准要求，判该批产品不合格。</w:t>
      </w:r>
    </w:p>
    <w:p w:rsidR="00E87AEA" w:rsidRDefault="006A25F0">
      <w:pPr>
        <w:pStyle w:val="afffa"/>
      </w:pPr>
      <w:r>
        <w:rPr>
          <w:rFonts w:hint="eastAsia"/>
        </w:rPr>
        <w:t>每批检验合格的出厂产品应附有质量证明书，其内容包括：企业名称、地址、产品名称、批号或生产日期、总养分、配合式</w:t>
      </w:r>
      <w:r>
        <w:rPr>
          <w:rFonts w:hint="eastAsia"/>
        </w:rPr>
        <w:t>或主要养分含量、氯离子含量、养分保持率和（或）氨挥发减少率、本标准号和法律法规规定应标注的内容。以钙镁磷肥等枸溶性磷肥为基础磷肥的产品应注明为“枸溶性磷”，并应注明是否为“硝态氮”或“尿素态氮”。</w:t>
      </w:r>
    </w:p>
    <w:p w:rsidR="00E87AEA" w:rsidRDefault="006A25F0">
      <w:pPr>
        <w:pStyle w:val="a4"/>
      </w:pPr>
      <w:bookmarkStart w:id="29" w:name="_Toc491250098"/>
      <w:r>
        <w:rPr>
          <w:rFonts w:hint="eastAsia"/>
        </w:rPr>
        <w:t>标识</w:t>
      </w:r>
      <w:bookmarkEnd w:id="29"/>
    </w:p>
    <w:p w:rsidR="00E87AEA" w:rsidRDefault="006A25F0">
      <w:pPr>
        <w:pStyle w:val="affffff5"/>
        <w:ind w:left="0"/>
      </w:pPr>
      <w:r>
        <w:rPr>
          <w:rFonts w:hint="eastAsia"/>
        </w:rPr>
        <w:t>保持性</w:t>
      </w:r>
      <w:r>
        <w:t>尿素：包装袋应标明总氮含量、氨挥发抑制率、粒径范围，可以不标类别，其余按照</w:t>
      </w:r>
      <w:r>
        <w:t xml:space="preserve"> GB 18382 </w:t>
      </w:r>
      <w:r>
        <w:t>规定进行标识；</w:t>
      </w:r>
      <w:r>
        <w:rPr>
          <w:rFonts w:hint="eastAsia"/>
        </w:rPr>
        <w:t xml:space="preserve"> </w:t>
      </w:r>
    </w:p>
    <w:p w:rsidR="00E87AEA" w:rsidRDefault="006A25F0">
      <w:pPr>
        <w:pStyle w:val="affffff5"/>
        <w:ind w:left="0"/>
      </w:pPr>
      <w:r>
        <w:rPr>
          <w:rFonts w:hint="eastAsia"/>
        </w:rPr>
        <w:t>保持性</w:t>
      </w:r>
      <w:r>
        <w:t>复合肥</w:t>
      </w:r>
      <w:r>
        <w:rPr>
          <w:rFonts w:hint="eastAsia"/>
        </w:rPr>
        <w:t>料</w:t>
      </w:r>
      <w:r>
        <w:t>：</w:t>
      </w:r>
      <w:r>
        <w:rPr>
          <w:rFonts w:hAnsi="宋体" w:hint="eastAsia"/>
        </w:rPr>
        <w:t>Ⅰ</w:t>
      </w:r>
      <w:r>
        <w:rPr>
          <w:rFonts w:hint="eastAsia"/>
        </w:rPr>
        <w:t>型保持性</w:t>
      </w:r>
      <w:r>
        <w:t>复合肥</w:t>
      </w:r>
      <w:r>
        <w:rPr>
          <w:rFonts w:hint="eastAsia"/>
        </w:rPr>
        <w:t>料</w:t>
      </w:r>
      <w:r>
        <w:t>包装袋应标明</w:t>
      </w:r>
      <w:r>
        <w:rPr>
          <w:rFonts w:hint="eastAsia"/>
        </w:rPr>
        <w:t>养分保持率，</w:t>
      </w:r>
      <w:r>
        <w:t>其余按照</w:t>
      </w:r>
      <w:r>
        <w:t xml:space="preserve">GB 15063-2009 </w:t>
      </w:r>
      <w:r>
        <w:t>中</w:t>
      </w:r>
      <w:r>
        <w:t>7</w:t>
      </w:r>
      <w:r>
        <w:t>的规定执行；</w:t>
      </w:r>
      <w:r>
        <w:rPr>
          <w:rFonts w:hAnsi="宋体" w:hint="eastAsia"/>
        </w:rPr>
        <w:t>Ⅱ</w:t>
      </w:r>
      <w:r>
        <w:rPr>
          <w:rFonts w:hint="eastAsia"/>
        </w:rPr>
        <w:t>型保持性</w:t>
      </w:r>
      <w:r>
        <w:t>复合肥</w:t>
      </w:r>
      <w:r>
        <w:rPr>
          <w:rFonts w:hint="eastAsia"/>
        </w:rPr>
        <w:t>料</w:t>
      </w:r>
      <w:r>
        <w:t>包装袋应标明</w:t>
      </w:r>
      <w:r>
        <w:rPr>
          <w:rFonts w:hint="eastAsia"/>
        </w:rPr>
        <w:t>养分保持率、氨挥发减少率，</w:t>
      </w:r>
      <w:r>
        <w:t>其余按照</w:t>
      </w:r>
      <w:r>
        <w:t>GB 15063</w:t>
      </w:r>
      <w:r>
        <w:t xml:space="preserve">-2009 </w:t>
      </w:r>
      <w:r>
        <w:t>中</w:t>
      </w:r>
      <w:r>
        <w:t>7</w:t>
      </w:r>
      <w:r>
        <w:t>的规定执行；</w:t>
      </w:r>
    </w:p>
    <w:p w:rsidR="00E87AEA" w:rsidRDefault="006A25F0">
      <w:pPr>
        <w:pStyle w:val="affffff5"/>
        <w:ind w:left="0"/>
      </w:pPr>
      <w:r>
        <w:rPr>
          <w:rFonts w:hint="eastAsia"/>
        </w:rPr>
        <w:t>保持性磷酸二铵</w:t>
      </w:r>
      <w:r>
        <w:t>：包装袋应标明</w:t>
      </w:r>
      <w:r>
        <w:rPr>
          <w:rFonts w:hint="eastAsia"/>
        </w:rPr>
        <w:t>养分保持率，</w:t>
      </w:r>
      <w:r>
        <w:t>其余按照</w:t>
      </w:r>
      <w:r>
        <w:t>GB 1020</w:t>
      </w:r>
      <w:r>
        <w:rPr>
          <w:rFonts w:hint="eastAsia"/>
        </w:rPr>
        <w:t>5-2009</w:t>
      </w:r>
      <w:r>
        <w:rPr>
          <w:rFonts w:hint="eastAsia"/>
        </w:rPr>
        <w:t>中</w:t>
      </w:r>
      <w:r>
        <w:rPr>
          <w:rFonts w:hint="eastAsia"/>
        </w:rPr>
        <w:t>7</w:t>
      </w:r>
      <w:r>
        <w:t>的规定执行；</w:t>
      </w:r>
    </w:p>
    <w:p w:rsidR="00E87AEA" w:rsidRDefault="006A25F0">
      <w:pPr>
        <w:pStyle w:val="affffff5"/>
        <w:ind w:left="0"/>
      </w:pPr>
      <w:r>
        <w:rPr>
          <w:rFonts w:hint="eastAsia"/>
        </w:rPr>
        <w:t>保持性</w:t>
      </w:r>
      <w:r>
        <w:t>掺混肥料：</w:t>
      </w:r>
      <w:r>
        <w:rPr>
          <w:rFonts w:hAnsi="宋体" w:hint="eastAsia"/>
        </w:rPr>
        <w:t>Ⅰ</w:t>
      </w:r>
      <w:r>
        <w:rPr>
          <w:rFonts w:hint="eastAsia"/>
        </w:rPr>
        <w:t>型保持性掺混</w:t>
      </w:r>
      <w:r>
        <w:t>肥</w:t>
      </w:r>
      <w:r>
        <w:rPr>
          <w:rFonts w:hint="eastAsia"/>
        </w:rPr>
        <w:t>料</w:t>
      </w:r>
      <w:r>
        <w:t>包装袋应标明</w:t>
      </w:r>
      <w:r>
        <w:rPr>
          <w:rFonts w:hint="eastAsia"/>
        </w:rPr>
        <w:t>养分保持率，</w:t>
      </w:r>
      <w:r>
        <w:t>其余按照</w:t>
      </w:r>
      <w:r>
        <w:t xml:space="preserve">GB 21633-2008 </w:t>
      </w:r>
      <w:r>
        <w:t>中</w:t>
      </w:r>
      <w:r>
        <w:t>7</w:t>
      </w:r>
      <w:r>
        <w:t>的规定执行</w:t>
      </w:r>
      <w:r>
        <w:rPr>
          <w:rFonts w:hint="eastAsia"/>
        </w:rPr>
        <w:t>。</w:t>
      </w:r>
      <w:r>
        <w:rPr>
          <w:rFonts w:hAnsi="宋体" w:hint="eastAsia"/>
        </w:rPr>
        <w:t>Ⅱ</w:t>
      </w:r>
      <w:r>
        <w:rPr>
          <w:rFonts w:hint="eastAsia"/>
        </w:rPr>
        <w:t>型保持性掺混</w:t>
      </w:r>
      <w:r>
        <w:t>肥</w:t>
      </w:r>
      <w:r>
        <w:rPr>
          <w:rFonts w:hint="eastAsia"/>
        </w:rPr>
        <w:t>料</w:t>
      </w:r>
      <w:r>
        <w:t>包装袋应标明</w:t>
      </w:r>
      <w:r>
        <w:rPr>
          <w:rFonts w:hint="eastAsia"/>
        </w:rPr>
        <w:t>养分保持率、氨挥发减少率，</w:t>
      </w:r>
      <w:r>
        <w:t>其余按照</w:t>
      </w:r>
      <w:r>
        <w:t xml:space="preserve">GB 21633-2008 </w:t>
      </w:r>
      <w:r>
        <w:t>中</w:t>
      </w:r>
      <w:r>
        <w:t>7</w:t>
      </w:r>
      <w:r>
        <w:t>的规定执行</w:t>
      </w:r>
      <w:r>
        <w:rPr>
          <w:rFonts w:hint="eastAsia"/>
        </w:rPr>
        <w:t>。</w:t>
      </w:r>
    </w:p>
    <w:p w:rsidR="00E87AEA" w:rsidRDefault="006A25F0">
      <w:pPr>
        <w:pStyle w:val="affffff5"/>
        <w:ind w:left="0"/>
      </w:pPr>
      <w:r>
        <w:t>产品如含有硝态氮，应在包装容器正面标明</w:t>
      </w:r>
      <w:r>
        <w:t>“</w:t>
      </w:r>
      <w:r>
        <w:t>含硝态氮</w:t>
      </w:r>
      <w:r>
        <w:t>”</w:t>
      </w:r>
      <w:r>
        <w:t>。</w:t>
      </w:r>
      <w:r>
        <w:t xml:space="preserve"> </w:t>
      </w:r>
    </w:p>
    <w:p w:rsidR="00E87AEA" w:rsidRDefault="006A25F0">
      <w:pPr>
        <w:pStyle w:val="affffff5"/>
        <w:ind w:left="0"/>
      </w:pPr>
      <w:r>
        <w:t>以钙镁磷肥等枸溶性磷肥为基础磷肥的产品应在包装容器上标明为</w:t>
      </w:r>
      <w:r>
        <w:t>“</w:t>
      </w:r>
      <w:r>
        <w:t>枸溶性磷</w:t>
      </w:r>
      <w:r>
        <w:t>”</w:t>
      </w:r>
      <w:r>
        <w:t>。</w:t>
      </w:r>
      <w:r>
        <w:t xml:space="preserve"> </w:t>
      </w:r>
    </w:p>
    <w:p w:rsidR="00E87AEA" w:rsidRDefault="006A25F0">
      <w:pPr>
        <w:pStyle w:val="affffff5"/>
        <w:ind w:left="0"/>
      </w:pPr>
      <w:r>
        <w:t>氯离子的质量分数大于</w:t>
      </w:r>
      <w:r>
        <w:t xml:space="preserve"> 3.0%</w:t>
      </w:r>
      <w:r>
        <w:t>的产品，应根据</w:t>
      </w:r>
      <w:r>
        <w:t xml:space="preserve"> 4.2 </w:t>
      </w:r>
      <w:r>
        <w:t>要求的</w:t>
      </w:r>
      <w:r>
        <w:t>“</w:t>
      </w:r>
      <w:r>
        <w:t>氯离子的质量分数</w:t>
      </w:r>
      <w:r>
        <w:t>”</w:t>
      </w:r>
      <w:r>
        <w:t>，用汉字明确标注</w:t>
      </w:r>
      <w:r>
        <w:t xml:space="preserve"> </w:t>
      </w:r>
      <w:r>
        <w:t>“</w:t>
      </w:r>
      <w:r>
        <w:t>含氯（低氯）</w:t>
      </w:r>
      <w:r>
        <w:t>”</w:t>
      </w:r>
      <w:r>
        <w:t>、</w:t>
      </w:r>
      <w:r>
        <w:t>“</w:t>
      </w:r>
      <w:r>
        <w:t>含氯（中氯）</w:t>
      </w:r>
      <w:r>
        <w:t>”</w:t>
      </w:r>
      <w:r>
        <w:t>或</w:t>
      </w:r>
      <w:r>
        <w:t>“</w:t>
      </w:r>
      <w:r>
        <w:t>含氯（高氯）</w:t>
      </w:r>
      <w:r>
        <w:t>”</w:t>
      </w:r>
      <w:r>
        <w:t>，而不是标注</w:t>
      </w:r>
      <w:r>
        <w:t>“</w:t>
      </w:r>
      <w:r>
        <w:t>氯</w:t>
      </w:r>
      <w:r>
        <w:t>”</w:t>
      </w:r>
      <w:r>
        <w:t>、</w:t>
      </w:r>
      <w:r>
        <w:t>“</w:t>
      </w:r>
      <w:r>
        <w:t>含</w:t>
      </w:r>
      <w:r>
        <w:t xml:space="preserve"> Cl</w:t>
      </w:r>
      <w:r>
        <w:t>”</w:t>
      </w:r>
      <w:r>
        <w:t>或</w:t>
      </w:r>
      <w:r>
        <w:t>“</w:t>
      </w:r>
      <w:r>
        <w:t>Cl</w:t>
      </w:r>
      <w:r>
        <w:t>”</w:t>
      </w:r>
      <w:r>
        <w:t xml:space="preserve"> </w:t>
      </w:r>
      <w:r>
        <w:t>等。标明</w:t>
      </w:r>
      <w:r>
        <w:t>“</w:t>
      </w:r>
      <w:r>
        <w:t>含氯</w:t>
      </w:r>
      <w:r>
        <w:t>”</w:t>
      </w:r>
      <w:r>
        <w:t>产品，包装容器上不应有忌氯作物的图片，也不能有硫酸钾（型）、硝酸钾（型）、</w:t>
      </w:r>
      <w:r>
        <w:t xml:space="preserve"> </w:t>
      </w:r>
      <w:r>
        <w:t>硫基等容易导致用户误认为不含氯的标识。有含氯（高氯）的产品应在包装容器上标明产品的适用作物</w:t>
      </w:r>
      <w:r>
        <w:t xml:space="preserve"> </w:t>
      </w:r>
      <w:r>
        <w:t>品种和</w:t>
      </w:r>
      <w:r>
        <w:t>“</w:t>
      </w:r>
      <w:r>
        <w:t>使用不当会对作物造成伤害</w:t>
      </w:r>
      <w:r>
        <w:t>”</w:t>
      </w:r>
      <w:r>
        <w:t>的警示语。</w:t>
      </w:r>
      <w:r>
        <w:t xml:space="preserve"> </w:t>
      </w:r>
    </w:p>
    <w:p w:rsidR="00E87AEA" w:rsidRDefault="006A25F0">
      <w:pPr>
        <w:pStyle w:val="affffff5"/>
        <w:ind w:left="0"/>
      </w:pPr>
      <w:r>
        <w:t>含有尿素态氮的产品应在包装容器上标明以下警示语：</w:t>
      </w:r>
      <w:r>
        <w:t>“</w:t>
      </w:r>
      <w:r>
        <w:t>含缩二脲，使用不当会给作物造成伤</w:t>
      </w:r>
      <w:r>
        <w:t xml:space="preserve"> </w:t>
      </w:r>
      <w:r>
        <w:t>害</w:t>
      </w:r>
      <w:r>
        <w:t>”</w:t>
      </w:r>
      <w:r>
        <w:t>。使用方法、适宜作物及不适宜作物。</w:t>
      </w:r>
      <w:r>
        <w:t xml:space="preserve"> </w:t>
      </w:r>
    </w:p>
    <w:p w:rsidR="00E87AEA" w:rsidRDefault="006A25F0">
      <w:pPr>
        <w:pStyle w:val="affffff5"/>
        <w:ind w:left="0"/>
      </w:pPr>
      <w:r>
        <w:lastRenderedPageBreak/>
        <w:t>产品的包装容器上应有使用说明，内容包括：警示语（如</w:t>
      </w:r>
      <w:r>
        <w:t>“</w:t>
      </w:r>
      <w:r>
        <w:t>氯含量较高，含缩二脲，使用不当会给作物造成伤害</w:t>
      </w:r>
      <w:r>
        <w:t>”</w:t>
      </w:r>
      <w:r>
        <w:t>等）、使用方法、建议施用量等。</w:t>
      </w:r>
      <w:r>
        <w:t xml:space="preserve"> </w:t>
      </w:r>
    </w:p>
    <w:p w:rsidR="00E87AEA" w:rsidRDefault="006A25F0">
      <w:pPr>
        <w:pStyle w:val="affffff5"/>
        <w:ind w:left="0"/>
      </w:pPr>
      <w:r>
        <w:t>每袋净含量应标明单一数值，如</w:t>
      </w:r>
      <w:r>
        <w:t xml:space="preserve"> 25 kg</w:t>
      </w:r>
      <w:r>
        <w:t>、</w:t>
      </w:r>
      <w:r>
        <w:t xml:space="preserve">40 kg </w:t>
      </w:r>
      <w:r>
        <w:t>或</w:t>
      </w:r>
      <w:r>
        <w:t xml:space="preserve"> 50 kg </w:t>
      </w:r>
      <w:r>
        <w:t>等。</w:t>
      </w:r>
    </w:p>
    <w:p w:rsidR="00E87AEA" w:rsidRDefault="006A25F0">
      <w:pPr>
        <w:pStyle w:val="a4"/>
      </w:pPr>
      <w:bookmarkStart w:id="30" w:name="_Toc491250099"/>
      <w:r>
        <w:rPr>
          <w:rFonts w:hint="eastAsia"/>
        </w:rPr>
        <w:t>包装、运输和贮存</w:t>
      </w:r>
      <w:bookmarkEnd w:id="30"/>
    </w:p>
    <w:p w:rsidR="00E87AEA" w:rsidRDefault="006A25F0">
      <w:pPr>
        <w:pStyle w:val="affffff5"/>
        <w:ind w:left="0"/>
      </w:pPr>
      <w:r>
        <w:rPr>
          <w:rFonts w:hint="eastAsia"/>
        </w:rPr>
        <w:t>保持性</w:t>
      </w:r>
      <w:r>
        <w:t>尿素：按</w:t>
      </w:r>
      <w:r>
        <w:t xml:space="preserve"> GB </w:t>
      </w:r>
      <w:r>
        <w:rPr>
          <w:rFonts w:hint="eastAsia"/>
        </w:rPr>
        <w:t>2440-2001</w:t>
      </w:r>
      <w:r>
        <w:rPr>
          <w:rFonts w:hint="eastAsia"/>
        </w:rPr>
        <w:t>中</w:t>
      </w:r>
      <w:r>
        <w:rPr>
          <w:rFonts w:hint="eastAsia"/>
        </w:rPr>
        <w:t>7</w:t>
      </w:r>
      <w:r>
        <w:rPr>
          <w:rFonts w:hint="eastAsia"/>
        </w:rPr>
        <w:t>的</w:t>
      </w:r>
      <w:r>
        <w:t xml:space="preserve"> </w:t>
      </w:r>
      <w:r>
        <w:t>规定</w:t>
      </w:r>
      <w:r>
        <w:rPr>
          <w:rFonts w:hint="eastAsia"/>
        </w:rPr>
        <w:t>执行</w:t>
      </w:r>
      <w:r>
        <w:t>；</w:t>
      </w:r>
      <w:r>
        <w:rPr>
          <w:rFonts w:hint="eastAsia"/>
        </w:rPr>
        <w:t xml:space="preserve"> </w:t>
      </w:r>
    </w:p>
    <w:p w:rsidR="00E87AEA" w:rsidRDefault="006A25F0">
      <w:pPr>
        <w:pStyle w:val="affffff5"/>
        <w:ind w:left="0"/>
      </w:pPr>
      <w:r>
        <w:rPr>
          <w:rFonts w:hint="eastAsia"/>
        </w:rPr>
        <w:t>保持性</w:t>
      </w:r>
      <w:r>
        <w:t>复合肥</w:t>
      </w:r>
      <w:r>
        <w:rPr>
          <w:rFonts w:hint="eastAsia"/>
        </w:rPr>
        <w:t>料</w:t>
      </w:r>
      <w:r>
        <w:t>：按</w:t>
      </w:r>
      <w:r>
        <w:t xml:space="preserve">GB 15063-2009 </w:t>
      </w:r>
      <w:r>
        <w:t>中</w:t>
      </w:r>
      <w:r>
        <w:rPr>
          <w:rFonts w:hint="eastAsia"/>
        </w:rPr>
        <w:t>8</w:t>
      </w:r>
      <w:r>
        <w:t>的规定执行；</w:t>
      </w:r>
    </w:p>
    <w:p w:rsidR="00E87AEA" w:rsidRDefault="006A25F0">
      <w:pPr>
        <w:pStyle w:val="affffff5"/>
        <w:ind w:left="0"/>
      </w:pPr>
      <w:r>
        <w:rPr>
          <w:rFonts w:hint="eastAsia"/>
        </w:rPr>
        <w:t>保持性磷酸二铵</w:t>
      </w:r>
      <w:r>
        <w:t>：按</w:t>
      </w:r>
      <w:r>
        <w:t>GB 1020</w:t>
      </w:r>
      <w:r>
        <w:rPr>
          <w:rFonts w:hint="eastAsia"/>
        </w:rPr>
        <w:t>5-2009</w:t>
      </w:r>
      <w:r>
        <w:t xml:space="preserve"> </w:t>
      </w:r>
      <w:r>
        <w:t>中</w:t>
      </w:r>
      <w:r>
        <w:rPr>
          <w:rFonts w:hint="eastAsia"/>
        </w:rPr>
        <w:t>8</w:t>
      </w:r>
      <w:r>
        <w:t>的规定执行；</w:t>
      </w:r>
    </w:p>
    <w:p w:rsidR="00E87AEA" w:rsidRDefault="006A25F0">
      <w:pPr>
        <w:pStyle w:val="affffff5"/>
        <w:ind w:left="0"/>
      </w:pPr>
      <w:r>
        <w:rPr>
          <w:rFonts w:hint="eastAsia"/>
        </w:rPr>
        <w:t>保持性</w:t>
      </w:r>
      <w:r>
        <w:t>掺混肥料：按</w:t>
      </w:r>
      <w:r>
        <w:t xml:space="preserve">GB 21633-2008 </w:t>
      </w:r>
      <w:r>
        <w:t>中</w:t>
      </w:r>
      <w:r>
        <w:rPr>
          <w:rFonts w:hint="eastAsia"/>
        </w:rPr>
        <w:t>8</w:t>
      </w:r>
      <w:r>
        <w:t>的规定执行</w:t>
      </w:r>
      <w:r>
        <w:rPr>
          <w:rFonts w:hint="eastAsia"/>
        </w:rPr>
        <w:t>。</w:t>
      </w:r>
    </w:p>
    <w:p w:rsidR="00E87AEA" w:rsidRDefault="00E87AEA">
      <w:pPr>
        <w:pStyle w:val="aa"/>
      </w:pPr>
    </w:p>
    <w:p w:rsidR="00E87AEA" w:rsidRDefault="00E87AEA">
      <w:pPr>
        <w:pStyle w:val="af5"/>
      </w:pPr>
    </w:p>
    <w:p w:rsidR="00E87AEA" w:rsidRDefault="006A25F0">
      <w:pPr>
        <w:pStyle w:val="af8"/>
      </w:pPr>
      <w:r>
        <w:br/>
      </w:r>
      <w:bookmarkStart w:id="31" w:name="_Toc491250100"/>
      <w:r>
        <w:rPr>
          <w:rFonts w:hint="eastAsia"/>
        </w:rPr>
        <w:t>（规范性附录）</w:t>
      </w:r>
      <w:r>
        <w:br/>
      </w:r>
      <w:r>
        <w:rPr>
          <w:rFonts w:hint="eastAsia"/>
        </w:rPr>
        <w:t>养分保持率的测定</w:t>
      </w:r>
      <w:r>
        <w:rPr>
          <w:rFonts w:hint="eastAsia"/>
        </w:rPr>
        <w:t xml:space="preserve"> </w:t>
      </w:r>
      <w:r>
        <w:rPr>
          <w:rFonts w:hint="eastAsia"/>
        </w:rPr>
        <w:t>蠕动泵反向淋溶法</w:t>
      </w:r>
      <w:bookmarkEnd w:id="31"/>
    </w:p>
    <w:p w:rsidR="00E87AEA" w:rsidRDefault="006A25F0">
      <w:pPr>
        <w:pStyle w:val="af9"/>
        <w:spacing w:before="312" w:after="312"/>
      </w:pPr>
      <w:r>
        <w:rPr>
          <w:rFonts w:hint="eastAsia"/>
        </w:rPr>
        <w:t>范围</w:t>
      </w:r>
    </w:p>
    <w:p w:rsidR="00E87AEA" w:rsidRDefault="006A25F0">
      <w:pPr>
        <w:pStyle w:val="affd"/>
      </w:pPr>
      <w:r>
        <w:rPr>
          <w:rFonts w:hint="eastAsia"/>
        </w:rPr>
        <w:t>本方法适用于保持性复混（合）肥料、保持性磷酸二铵、保持性掺混肥料养分保持率的测定。</w:t>
      </w:r>
    </w:p>
    <w:p w:rsidR="00E87AEA" w:rsidRDefault="006A25F0">
      <w:pPr>
        <w:pStyle w:val="af9"/>
        <w:spacing w:before="312" w:after="312"/>
      </w:pPr>
      <w:r>
        <w:rPr>
          <w:rFonts w:hint="eastAsia"/>
        </w:rPr>
        <w:t>方法提要</w:t>
      </w:r>
    </w:p>
    <w:p w:rsidR="00E87AEA" w:rsidRDefault="006A25F0">
      <w:pPr>
        <w:pStyle w:val="affd"/>
      </w:pPr>
      <w:r>
        <w:rPr>
          <w:rFonts w:hint="eastAsia"/>
        </w:rPr>
        <w:t>定量称取已作粉碎处理的保持性肥料试样，加入淋溶柱，通过蠕动泵将一定体积的蒸馏水自下而上进行反向淋溶。待淋溶完毕后，取淋溶水样进行相关指标的检测，计算出养分保持率。</w:t>
      </w:r>
    </w:p>
    <w:p w:rsidR="00E87AEA" w:rsidRDefault="006A25F0">
      <w:pPr>
        <w:pStyle w:val="af9"/>
        <w:spacing w:before="312" w:after="312"/>
      </w:pPr>
      <w:r>
        <w:rPr>
          <w:rFonts w:hint="eastAsia"/>
        </w:rPr>
        <w:t>试剂和材料</w:t>
      </w:r>
    </w:p>
    <w:p w:rsidR="00E87AEA" w:rsidRDefault="006A25F0">
      <w:pPr>
        <w:pStyle w:val="afffff4"/>
      </w:pPr>
      <w:r>
        <w:rPr>
          <w:rFonts w:hint="eastAsia"/>
        </w:rPr>
        <w:t>石英砂：分析纯，过筛，选取其中</w:t>
      </w:r>
      <w:r>
        <w:rPr>
          <w:rFonts w:hint="eastAsia"/>
        </w:rPr>
        <w:t>0.425mm</w:t>
      </w:r>
      <w:r>
        <w:rPr>
          <w:rFonts w:hint="eastAsia"/>
        </w:rPr>
        <w:t>～</w:t>
      </w:r>
      <w:r>
        <w:rPr>
          <w:rFonts w:hint="eastAsia"/>
        </w:rPr>
        <w:t>0.600mm</w:t>
      </w:r>
      <w:r>
        <w:rPr>
          <w:rFonts w:hint="eastAsia"/>
        </w:rPr>
        <w:t>的石英砂约</w:t>
      </w:r>
      <w:r>
        <w:rPr>
          <w:rFonts w:hint="eastAsia"/>
        </w:rPr>
        <w:t>300g</w:t>
      </w:r>
      <w:r>
        <w:rPr>
          <w:rFonts w:hint="eastAsia"/>
        </w:rPr>
        <w:t>，放入烧杯中，用约</w:t>
      </w:r>
      <w:r>
        <w:rPr>
          <w:rFonts w:hint="eastAsia"/>
        </w:rPr>
        <w:t>1 L</w:t>
      </w:r>
      <w:r>
        <w:rPr>
          <w:rFonts w:hint="eastAsia"/>
        </w:rPr>
        <w:t>自来水清洗</w:t>
      </w:r>
      <w:r>
        <w:rPr>
          <w:rFonts w:hint="eastAsia"/>
        </w:rPr>
        <w:t>3</w:t>
      </w:r>
      <w:r>
        <w:rPr>
          <w:rFonts w:hint="eastAsia"/>
        </w:rPr>
        <w:t>至</w:t>
      </w:r>
      <w:r>
        <w:rPr>
          <w:rFonts w:hint="eastAsia"/>
        </w:rPr>
        <w:t>5</w:t>
      </w:r>
      <w:r>
        <w:rPr>
          <w:rFonts w:hint="eastAsia"/>
        </w:rPr>
        <w:t>次，再用</w:t>
      </w:r>
      <w:r>
        <w:rPr>
          <w:rFonts w:hint="eastAsia"/>
        </w:rPr>
        <w:t>500mL</w:t>
      </w:r>
      <w:r>
        <w:rPr>
          <w:rFonts w:hint="eastAsia"/>
        </w:rPr>
        <w:t>蒸馏水清洗</w:t>
      </w:r>
      <w:r>
        <w:rPr>
          <w:rFonts w:hint="eastAsia"/>
        </w:rPr>
        <w:t>2</w:t>
      </w:r>
      <w:r>
        <w:rPr>
          <w:rFonts w:hint="eastAsia"/>
        </w:rPr>
        <w:t>次，于</w:t>
      </w:r>
      <w:r>
        <w:rPr>
          <w:rFonts w:hint="eastAsia"/>
        </w:rPr>
        <w:t>105</w:t>
      </w:r>
      <w:r>
        <w:rPr>
          <w:rFonts w:hint="eastAsia"/>
        </w:rPr>
        <w:t>℃烘</w:t>
      </w:r>
      <w:r>
        <w:rPr>
          <w:rFonts w:hint="eastAsia"/>
        </w:rPr>
        <w:t>干备用。</w:t>
      </w:r>
    </w:p>
    <w:p w:rsidR="00E87AEA" w:rsidRDefault="006A25F0">
      <w:pPr>
        <w:pStyle w:val="afffff4"/>
      </w:pPr>
      <w:r>
        <w:rPr>
          <w:rFonts w:hint="eastAsia"/>
        </w:rPr>
        <w:t>GB/T 10209.1</w:t>
      </w:r>
      <w:r>
        <w:rPr>
          <w:rFonts w:hint="eastAsia"/>
        </w:rPr>
        <w:t>、</w:t>
      </w:r>
      <w:r>
        <w:rPr>
          <w:rFonts w:hint="eastAsia"/>
        </w:rPr>
        <w:t>GB/T 10209.2</w:t>
      </w:r>
      <w:r>
        <w:rPr>
          <w:rFonts w:hint="eastAsia"/>
        </w:rPr>
        <w:t>、</w:t>
      </w:r>
      <w:r>
        <w:rPr>
          <w:rFonts w:hint="eastAsia"/>
        </w:rPr>
        <w:t>GB/T 8572</w:t>
      </w:r>
      <w:r>
        <w:rPr>
          <w:rFonts w:hint="eastAsia"/>
        </w:rPr>
        <w:t>、</w:t>
      </w:r>
      <w:r>
        <w:rPr>
          <w:rFonts w:hint="eastAsia"/>
        </w:rPr>
        <w:t>GB/T 8573</w:t>
      </w:r>
      <w:r>
        <w:rPr>
          <w:rFonts w:hint="eastAsia"/>
        </w:rPr>
        <w:t>、</w:t>
      </w:r>
      <w:r>
        <w:rPr>
          <w:rFonts w:hint="eastAsia"/>
        </w:rPr>
        <w:t>GB/T 8574</w:t>
      </w:r>
      <w:r>
        <w:rPr>
          <w:rFonts w:hint="eastAsia"/>
        </w:rPr>
        <w:t>中所用试剂和材料。</w:t>
      </w:r>
    </w:p>
    <w:p w:rsidR="00E87AEA" w:rsidRDefault="006A25F0">
      <w:pPr>
        <w:pStyle w:val="afffff4"/>
      </w:pPr>
      <w:r>
        <w:rPr>
          <w:rFonts w:hint="eastAsia"/>
        </w:rPr>
        <w:t>25</w:t>
      </w:r>
      <w:r>
        <w:rPr>
          <w:rFonts w:hint="eastAsia"/>
        </w:rPr>
        <w:t>℃蒸馏水。</w:t>
      </w:r>
    </w:p>
    <w:p w:rsidR="00E87AEA" w:rsidRDefault="006A25F0">
      <w:pPr>
        <w:pStyle w:val="afffff4"/>
      </w:pPr>
      <w:r>
        <w:rPr>
          <w:rFonts w:hint="eastAsia"/>
        </w:rPr>
        <w:t>试料：保持性肥料，粉碎，过</w:t>
      </w:r>
      <w:r>
        <w:rPr>
          <w:rFonts w:hint="eastAsia"/>
        </w:rPr>
        <w:t>0.25mm</w:t>
      </w:r>
      <w:r>
        <w:rPr>
          <w:rFonts w:hint="eastAsia"/>
        </w:rPr>
        <w:t>筛。</w:t>
      </w:r>
    </w:p>
    <w:p w:rsidR="00E87AEA" w:rsidRDefault="006A25F0">
      <w:pPr>
        <w:pStyle w:val="afffff4"/>
      </w:pPr>
      <w:r>
        <w:rPr>
          <w:rFonts w:hint="eastAsia"/>
        </w:rPr>
        <w:t>对照肥料：配制方法见附录</w:t>
      </w:r>
      <w:r>
        <w:rPr>
          <w:rFonts w:hint="eastAsia"/>
        </w:rPr>
        <w:t xml:space="preserve"> C </w:t>
      </w:r>
      <w:r>
        <w:rPr>
          <w:rFonts w:hint="eastAsia"/>
        </w:rPr>
        <w:t>，粉碎，过</w:t>
      </w:r>
      <w:r>
        <w:rPr>
          <w:rFonts w:hint="eastAsia"/>
        </w:rPr>
        <w:t>0.25mm</w:t>
      </w:r>
      <w:r>
        <w:rPr>
          <w:rFonts w:hint="eastAsia"/>
        </w:rPr>
        <w:t>筛。</w:t>
      </w:r>
    </w:p>
    <w:p w:rsidR="00E87AEA" w:rsidRDefault="006A25F0">
      <w:pPr>
        <w:pStyle w:val="afffff4"/>
      </w:pPr>
      <w:r>
        <w:rPr>
          <w:rFonts w:hint="eastAsia"/>
        </w:rPr>
        <w:t>仪器</w:t>
      </w:r>
    </w:p>
    <w:p w:rsidR="00E87AEA" w:rsidRDefault="006A25F0">
      <w:pPr>
        <w:pStyle w:val="affffe"/>
      </w:pPr>
      <w:r>
        <w:rPr>
          <w:rFonts w:hint="eastAsia"/>
        </w:rPr>
        <w:t>淋溶柱</w:t>
      </w:r>
    </w:p>
    <w:p w:rsidR="00E87AEA" w:rsidRDefault="006A25F0">
      <w:pPr>
        <w:pStyle w:val="affd"/>
      </w:pPr>
      <w:r>
        <w:rPr>
          <w:rFonts w:hint="eastAsia"/>
        </w:rPr>
        <w:t>淋溶柱为一根内径为</w:t>
      </w:r>
      <w:r>
        <w:rPr>
          <w:rFonts w:hint="eastAsia"/>
        </w:rPr>
        <w:t>32mm</w:t>
      </w:r>
      <w:r>
        <w:rPr>
          <w:rFonts w:hint="eastAsia"/>
        </w:rPr>
        <w:t>、总长度为</w:t>
      </w:r>
      <w:r>
        <w:rPr>
          <w:rFonts w:hint="eastAsia"/>
        </w:rPr>
        <w:t>185mm</w:t>
      </w:r>
      <w:r>
        <w:rPr>
          <w:rFonts w:hint="eastAsia"/>
        </w:rPr>
        <w:t>的玻璃柱构成，玻璃柱直管底部焊接</w:t>
      </w:r>
      <w:r>
        <w:rPr>
          <w:rFonts w:hint="eastAsia"/>
        </w:rPr>
        <w:t>1</w:t>
      </w:r>
      <w:r>
        <w:rPr>
          <w:rFonts w:hint="eastAsia"/>
        </w:rPr>
        <w:t>号砂芯板，如（图</w:t>
      </w:r>
      <w:r>
        <w:rPr>
          <w:rFonts w:hint="eastAsia"/>
        </w:rPr>
        <w:t>A.1</w:t>
      </w:r>
      <w:r>
        <w:rPr>
          <w:rFonts w:hint="eastAsia"/>
        </w:rPr>
        <w:t>）所示。</w:t>
      </w:r>
    </w:p>
    <w:p w:rsidR="00E87AEA" w:rsidRDefault="006A25F0">
      <w:pPr>
        <w:pStyle w:val="affffe"/>
      </w:pPr>
      <w:r>
        <w:rPr>
          <w:rFonts w:hint="eastAsia"/>
        </w:rPr>
        <w:t>蠕动泵</w:t>
      </w:r>
    </w:p>
    <w:p w:rsidR="00E87AEA" w:rsidRDefault="006A25F0">
      <w:pPr>
        <w:pStyle w:val="affd"/>
      </w:pPr>
      <w:r>
        <w:rPr>
          <w:rFonts w:hint="eastAsia"/>
        </w:rPr>
        <w:t>蠕动泵可双向转动，流量约为（</w:t>
      </w:r>
      <w:r>
        <w:rPr>
          <w:rFonts w:hint="eastAsia"/>
        </w:rPr>
        <w:t>13</w:t>
      </w:r>
      <w:r>
        <w:rPr>
          <w:rFonts w:hint="eastAsia"/>
        </w:rPr>
        <w:t>±</w:t>
      </w:r>
      <w:r>
        <w:rPr>
          <w:rFonts w:hint="eastAsia"/>
        </w:rPr>
        <w:t>0.5</w:t>
      </w:r>
      <w:r>
        <w:rPr>
          <w:rFonts w:hint="eastAsia"/>
        </w:rPr>
        <w:t>）</w:t>
      </w:r>
      <w:r>
        <w:rPr>
          <w:rFonts w:hint="eastAsia"/>
        </w:rPr>
        <w:t>mL/min</w:t>
      </w:r>
      <w:r>
        <w:rPr>
          <w:rFonts w:hint="eastAsia"/>
        </w:rPr>
        <w:t>，型号为</w:t>
      </w:r>
      <w:r>
        <w:rPr>
          <w:rFonts w:hint="eastAsia"/>
        </w:rPr>
        <w:t>BT100FJ</w:t>
      </w:r>
      <w:r>
        <w:rPr>
          <w:rFonts w:hint="eastAsia"/>
        </w:rPr>
        <w:t>，淋溶管尺寸是</w:t>
      </w:r>
      <w:r>
        <w:rPr>
          <w:rFonts w:hint="eastAsia"/>
        </w:rPr>
        <w:t>2.4(</w:t>
      </w:r>
      <w:r>
        <w:rPr>
          <w:rFonts w:hint="eastAsia"/>
        </w:rPr>
        <w:t>内径</w:t>
      </w:r>
      <w:r>
        <w:rPr>
          <w:rFonts w:hint="eastAsia"/>
        </w:rPr>
        <w:t>)</w:t>
      </w:r>
      <w:r>
        <w:rPr>
          <w:rFonts w:ascii="MS Mincho" w:eastAsia="MS Mincho" w:hAnsi="MS Mincho" w:cs="MS Mincho" w:hint="eastAsia"/>
        </w:rPr>
        <w:t>✕</w:t>
      </w:r>
      <w:r>
        <w:rPr>
          <w:rFonts w:hint="eastAsia"/>
        </w:rPr>
        <w:t>0.8(</w:t>
      </w:r>
      <w:r>
        <w:rPr>
          <w:rFonts w:hint="eastAsia"/>
        </w:rPr>
        <w:t>管壁厚</w:t>
      </w:r>
      <w:r>
        <w:rPr>
          <w:rFonts w:hint="eastAsia"/>
        </w:rPr>
        <w:t>)</w:t>
      </w:r>
      <w:r>
        <w:rPr>
          <w:rFonts w:hint="eastAsia"/>
        </w:rPr>
        <w:t>，单位：</w:t>
      </w:r>
      <w:r>
        <w:rPr>
          <w:rFonts w:hint="eastAsia"/>
        </w:rPr>
        <w:t>mm</w:t>
      </w:r>
      <w:r>
        <w:rPr>
          <w:rFonts w:hint="eastAsia"/>
        </w:rPr>
        <w:t>。</w:t>
      </w:r>
    </w:p>
    <w:p w:rsidR="00E87AEA" w:rsidRDefault="006A25F0">
      <w:pPr>
        <w:pStyle w:val="affffe"/>
      </w:pPr>
      <w:r>
        <w:rPr>
          <w:rFonts w:hint="eastAsia"/>
        </w:rPr>
        <w:t>试验筛</w:t>
      </w:r>
    </w:p>
    <w:p w:rsidR="00E87AEA" w:rsidRDefault="006A25F0">
      <w:pPr>
        <w:pStyle w:val="affd"/>
      </w:pPr>
      <w:r>
        <w:rPr>
          <w:rFonts w:hint="eastAsia"/>
        </w:rPr>
        <w:t>GB/T</w:t>
      </w:r>
      <w:r>
        <w:t xml:space="preserve"> </w:t>
      </w:r>
      <w:r>
        <w:rPr>
          <w:rFonts w:hint="eastAsia"/>
        </w:rPr>
        <w:t>6003.1-2012</w:t>
      </w:r>
      <w:r>
        <w:rPr>
          <w:rFonts w:hint="eastAsia"/>
        </w:rPr>
        <w:t>中</w:t>
      </w:r>
      <w:r>
        <w:rPr>
          <w:rFonts w:hint="eastAsia"/>
        </w:rPr>
        <w:t>R40/3</w:t>
      </w:r>
      <w:r>
        <w:rPr>
          <w:rFonts w:hint="eastAsia"/>
        </w:rPr>
        <w:t>系列：孔径为</w:t>
      </w:r>
      <w:r>
        <w:rPr>
          <w:rFonts w:hint="eastAsia"/>
        </w:rPr>
        <w:t>0.425mm</w:t>
      </w:r>
      <w:r>
        <w:rPr>
          <w:rFonts w:hint="eastAsia"/>
        </w:rPr>
        <w:t>和</w:t>
      </w:r>
      <w:r>
        <w:rPr>
          <w:rFonts w:hint="eastAsia"/>
        </w:rPr>
        <w:t>0.600mm</w:t>
      </w:r>
      <w:r>
        <w:rPr>
          <w:rFonts w:hint="eastAsia"/>
        </w:rPr>
        <w:t>，附盖和底盘。</w:t>
      </w:r>
    </w:p>
    <w:p w:rsidR="00E87AEA" w:rsidRDefault="006A25F0">
      <w:pPr>
        <w:pStyle w:val="affffe"/>
      </w:pPr>
      <w:r>
        <w:rPr>
          <w:rFonts w:hint="eastAsia"/>
        </w:rPr>
        <w:t>实验室通用仪器</w:t>
      </w:r>
    </w:p>
    <w:p w:rsidR="00E87AEA" w:rsidRDefault="006A25F0">
      <w:pPr>
        <w:pStyle w:val="afffff1"/>
        <w:numPr>
          <w:ilvl w:val="0"/>
          <w:numId w:val="0"/>
        </w:numPr>
      </w:pPr>
      <w:r>
        <w:rPr>
          <w:rFonts w:ascii="黑体" w:eastAsia="黑体" w:hAnsi="黑体" w:hint="eastAsia"/>
        </w:rPr>
        <w:t>A.3.6.5</w:t>
      </w:r>
      <w:r>
        <w:rPr>
          <w:rFonts w:hint="eastAsia"/>
        </w:rPr>
        <w:t xml:space="preserve">  </w:t>
      </w:r>
      <w:r>
        <w:rPr>
          <w:rFonts w:hint="eastAsia"/>
        </w:rPr>
        <w:t>打孔器</w:t>
      </w:r>
    </w:p>
    <w:p w:rsidR="00E87AEA" w:rsidRDefault="006A25F0">
      <w:pPr>
        <w:pStyle w:val="affd"/>
      </w:pPr>
      <w:r>
        <w:rPr>
          <w:rFonts w:hint="eastAsia"/>
        </w:rPr>
        <w:t>打孔器为一根长</w:t>
      </w:r>
      <w:r>
        <w:rPr>
          <w:rFonts w:hint="eastAsia"/>
        </w:rPr>
        <w:t>20cm</w:t>
      </w:r>
      <w:r>
        <w:rPr>
          <w:rFonts w:hint="eastAsia"/>
        </w:rPr>
        <w:t>，外径为</w:t>
      </w:r>
      <w:r>
        <w:rPr>
          <w:rFonts w:hint="eastAsia"/>
        </w:rPr>
        <w:t>12mm</w:t>
      </w:r>
      <w:r>
        <w:rPr>
          <w:rFonts w:hint="eastAsia"/>
        </w:rPr>
        <w:t>的柱体，可自制。</w:t>
      </w:r>
    </w:p>
    <w:p w:rsidR="00E87AEA" w:rsidRDefault="006A25F0">
      <w:pPr>
        <w:widowControl/>
        <w:tabs>
          <w:tab w:val="center" w:pos="4201"/>
          <w:tab w:val="right" w:leader="dot" w:pos="9298"/>
        </w:tabs>
        <w:autoSpaceDE w:val="0"/>
        <w:autoSpaceDN w:val="0"/>
        <w:spacing w:before="156" w:after="156"/>
        <w:rPr>
          <w:rFonts w:ascii="宋体"/>
          <w:kern w:val="21"/>
          <w:szCs w:val="21"/>
        </w:rPr>
      </w:pPr>
      <w:r>
        <w:rPr>
          <w:rFonts w:ascii="黑体" w:eastAsia="黑体" w:hAnsi="黑体" w:hint="eastAsia"/>
          <w:kern w:val="0"/>
        </w:rPr>
        <w:t>A.3.6.6</w:t>
      </w:r>
      <w:r>
        <w:rPr>
          <w:rFonts w:ascii="黑体" w:eastAsia="黑体" w:hAnsi="黑体"/>
          <w:kern w:val="0"/>
        </w:rPr>
        <w:t xml:space="preserve">  </w:t>
      </w:r>
      <w:r>
        <w:rPr>
          <w:rFonts w:ascii="宋体" w:hint="eastAsia"/>
          <w:kern w:val="21"/>
          <w:szCs w:val="21"/>
        </w:rPr>
        <w:t>养分保持率测定装置</w:t>
      </w:r>
    </w:p>
    <w:p w:rsidR="00E87AEA" w:rsidRDefault="006A25F0">
      <w:pPr>
        <w:widowControl/>
        <w:tabs>
          <w:tab w:val="center" w:pos="4201"/>
          <w:tab w:val="right" w:leader="dot" w:pos="9298"/>
        </w:tabs>
        <w:autoSpaceDE w:val="0"/>
        <w:autoSpaceDN w:val="0"/>
        <w:spacing w:before="156" w:after="156"/>
        <w:ind w:firstLineChars="200" w:firstLine="420"/>
        <w:rPr>
          <w:rFonts w:ascii="黑体" w:eastAsia="黑体" w:hAnsi="黑体"/>
          <w:kern w:val="0"/>
        </w:rPr>
      </w:pPr>
      <w:r>
        <w:rPr>
          <w:rFonts w:ascii="宋体" w:hint="eastAsia"/>
          <w:kern w:val="21"/>
          <w:szCs w:val="21"/>
        </w:rPr>
        <w:t>如图</w:t>
      </w:r>
      <w:r>
        <w:rPr>
          <w:rFonts w:ascii="宋体" w:hint="eastAsia"/>
          <w:kern w:val="21"/>
          <w:szCs w:val="21"/>
        </w:rPr>
        <w:t>A.2</w:t>
      </w:r>
      <w:r>
        <w:rPr>
          <w:rFonts w:ascii="宋体" w:hint="eastAsia"/>
          <w:kern w:val="21"/>
          <w:szCs w:val="21"/>
        </w:rPr>
        <w:t>所示。</w:t>
      </w:r>
    </w:p>
    <w:p w:rsidR="00E87AEA" w:rsidRDefault="00397107">
      <w:pPr>
        <w:widowControl/>
        <w:tabs>
          <w:tab w:val="center" w:pos="4201"/>
          <w:tab w:val="right" w:leader="dot" w:pos="9298"/>
        </w:tabs>
        <w:autoSpaceDE w:val="0"/>
        <w:autoSpaceDN w:val="0"/>
        <w:spacing w:before="156" w:after="156"/>
        <w:ind w:firstLineChars="200" w:firstLine="420"/>
        <w:jc w:val="center"/>
        <w:rPr>
          <w:rFonts w:ascii="宋体"/>
          <w:kern w:val="0"/>
        </w:rPr>
      </w:pPr>
      <w:r>
        <w:rPr>
          <w:rFonts w:ascii="宋体"/>
          <w:kern w:val="0"/>
        </w:rPr>
        <w:lastRenderedPageBreak/>
        <w:pict>
          <v:shape id="_x0000_i1026" type="#_x0000_t75" alt="未命" style="width:206.25pt;height:213pt">
            <v:imagedata r:id="rId14" o:title="未命"/>
          </v:shape>
        </w:pict>
      </w:r>
    </w:p>
    <w:p w:rsidR="00E87AEA" w:rsidRDefault="006A25F0">
      <w:pPr>
        <w:widowControl/>
        <w:tabs>
          <w:tab w:val="center" w:pos="4201"/>
          <w:tab w:val="right" w:leader="dot" w:pos="9298"/>
        </w:tabs>
        <w:autoSpaceDE w:val="0"/>
        <w:autoSpaceDN w:val="0"/>
        <w:spacing w:before="156" w:after="156"/>
        <w:ind w:firstLineChars="200" w:firstLine="420"/>
        <w:jc w:val="center"/>
        <w:rPr>
          <w:rFonts w:ascii="宋体"/>
          <w:kern w:val="0"/>
        </w:rPr>
      </w:pPr>
      <w:r>
        <w:rPr>
          <w:rFonts w:hint="eastAsia"/>
        </w:rPr>
        <w:t xml:space="preserve">1 </w:t>
      </w:r>
      <w:r>
        <w:rPr>
          <w:rFonts w:hint="eastAsia"/>
        </w:rPr>
        <w:t>–</w:t>
      </w:r>
      <w:r>
        <w:rPr>
          <w:rFonts w:hint="eastAsia"/>
        </w:rPr>
        <w:t xml:space="preserve"> </w:t>
      </w:r>
      <w:r>
        <w:rPr>
          <w:rFonts w:hint="eastAsia"/>
        </w:rPr>
        <w:t>淋溶柱管口；</w:t>
      </w:r>
      <w:r>
        <w:rPr>
          <w:rFonts w:hint="eastAsia"/>
        </w:rPr>
        <w:t xml:space="preserve">2 </w:t>
      </w:r>
      <w:r>
        <w:rPr>
          <w:rFonts w:hint="eastAsia"/>
        </w:rPr>
        <w:t>–</w:t>
      </w:r>
      <w:r>
        <w:rPr>
          <w:rFonts w:hint="eastAsia"/>
        </w:rPr>
        <w:t xml:space="preserve"> </w:t>
      </w:r>
      <w:r>
        <w:rPr>
          <w:rFonts w:hint="eastAsia"/>
        </w:rPr>
        <w:t>出水口；</w:t>
      </w:r>
      <w:r>
        <w:rPr>
          <w:rFonts w:hint="eastAsia"/>
        </w:rPr>
        <w:t xml:space="preserve">3 </w:t>
      </w:r>
      <w:r>
        <w:rPr>
          <w:rFonts w:hint="eastAsia"/>
        </w:rPr>
        <w:t>–</w:t>
      </w:r>
      <w:r>
        <w:rPr>
          <w:rFonts w:hint="eastAsia"/>
        </w:rPr>
        <w:t xml:space="preserve"> </w:t>
      </w:r>
      <w:r>
        <w:rPr>
          <w:rFonts w:hint="eastAsia"/>
        </w:rPr>
        <w:t>砂芯板；</w:t>
      </w:r>
      <w:r>
        <w:rPr>
          <w:rFonts w:hint="eastAsia"/>
        </w:rPr>
        <w:t xml:space="preserve">4 - </w:t>
      </w:r>
      <w:r>
        <w:rPr>
          <w:rFonts w:hint="eastAsia"/>
        </w:rPr>
        <w:t>进水口</w:t>
      </w:r>
    </w:p>
    <w:p w:rsidR="00E87AEA" w:rsidRDefault="006A25F0">
      <w:pPr>
        <w:pStyle w:val="ab"/>
        <w:spacing w:before="156" w:after="156"/>
      </w:pPr>
      <w:r>
        <w:rPr>
          <w:rFonts w:hint="eastAsia"/>
        </w:rPr>
        <w:t>淋溶柱</w:t>
      </w:r>
    </w:p>
    <w:p w:rsidR="00E87AEA" w:rsidRDefault="00397107">
      <w:pPr>
        <w:widowControl/>
        <w:tabs>
          <w:tab w:val="center" w:pos="4201"/>
          <w:tab w:val="right" w:leader="dot" w:pos="9298"/>
        </w:tabs>
        <w:autoSpaceDE w:val="0"/>
        <w:autoSpaceDN w:val="0"/>
        <w:spacing w:before="156" w:after="156"/>
        <w:jc w:val="center"/>
        <w:rPr>
          <w:rFonts w:ascii="宋体"/>
          <w:kern w:val="0"/>
        </w:rPr>
      </w:pPr>
      <w:r>
        <w:rPr>
          <w:rFonts w:ascii="宋体"/>
          <w:kern w:val="0"/>
        </w:rPr>
        <w:pict>
          <v:shape id="_x0000_i1027" type="#_x0000_t75" style="width:305.25pt;height:234pt">
            <v:imagedata r:id="rId15" o:title="未"/>
          </v:shape>
        </w:pict>
      </w:r>
    </w:p>
    <w:p w:rsidR="00E87AEA" w:rsidRDefault="006A25F0">
      <w:pPr>
        <w:jc w:val="center"/>
      </w:pPr>
      <w:r>
        <w:rPr>
          <w:rFonts w:hint="eastAsia"/>
        </w:rPr>
        <w:t xml:space="preserve">1 </w:t>
      </w:r>
      <w:r>
        <w:t>–</w:t>
      </w:r>
      <w:r>
        <w:rPr>
          <w:rFonts w:hint="eastAsia"/>
        </w:rPr>
        <w:t xml:space="preserve"> </w:t>
      </w:r>
      <w:r>
        <w:rPr>
          <w:rFonts w:hint="eastAsia"/>
        </w:rPr>
        <w:t>储水箱；</w:t>
      </w:r>
      <w:r>
        <w:rPr>
          <w:rFonts w:hint="eastAsia"/>
        </w:rPr>
        <w:t xml:space="preserve">2 - </w:t>
      </w:r>
      <w:r>
        <w:rPr>
          <w:rFonts w:hint="eastAsia"/>
        </w:rPr>
        <w:t>蠕动泵泵管；</w:t>
      </w:r>
      <w:r>
        <w:rPr>
          <w:rFonts w:hint="eastAsia"/>
        </w:rPr>
        <w:t xml:space="preserve">3 </w:t>
      </w:r>
      <w:r>
        <w:t>–</w:t>
      </w:r>
      <w:r>
        <w:rPr>
          <w:rFonts w:hint="eastAsia"/>
        </w:rPr>
        <w:t xml:space="preserve"> </w:t>
      </w:r>
      <w:r>
        <w:rPr>
          <w:rFonts w:hint="eastAsia"/>
        </w:rPr>
        <w:t>蠕动泵；</w:t>
      </w:r>
      <w:r>
        <w:rPr>
          <w:rFonts w:hint="eastAsia"/>
        </w:rPr>
        <w:t xml:space="preserve">4 </w:t>
      </w:r>
      <w:r>
        <w:t>–</w:t>
      </w:r>
      <w:r>
        <w:rPr>
          <w:rFonts w:hint="eastAsia"/>
        </w:rPr>
        <w:t xml:space="preserve"> </w:t>
      </w:r>
      <w:r>
        <w:rPr>
          <w:rFonts w:hint="eastAsia"/>
        </w:rPr>
        <w:t>固定夹；</w:t>
      </w:r>
    </w:p>
    <w:p w:rsidR="00E87AEA" w:rsidRDefault="006A25F0">
      <w:pPr>
        <w:jc w:val="center"/>
      </w:pPr>
      <w:r>
        <w:rPr>
          <w:rFonts w:hint="eastAsia"/>
        </w:rPr>
        <w:t xml:space="preserve">5- </w:t>
      </w:r>
      <w:r>
        <w:rPr>
          <w:rFonts w:hint="eastAsia"/>
        </w:rPr>
        <w:t>铁架台；</w:t>
      </w:r>
      <w:r>
        <w:rPr>
          <w:rFonts w:hint="eastAsia"/>
        </w:rPr>
        <w:t xml:space="preserve">6 </w:t>
      </w:r>
      <w:r>
        <w:t>–</w:t>
      </w:r>
      <w:r>
        <w:rPr>
          <w:rFonts w:hint="eastAsia"/>
        </w:rPr>
        <w:t xml:space="preserve"> </w:t>
      </w:r>
      <w:r>
        <w:rPr>
          <w:rFonts w:hint="eastAsia"/>
        </w:rPr>
        <w:t>橡皮塞；</w:t>
      </w:r>
      <w:r>
        <w:rPr>
          <w:rFonts w:hint="eastAsia"/>
        </w:rPr>
        <w:t xml:space="preserve">7 </w:t>
      </w:r>
      <w:r>
        <w:t>–</w:t>
      </w:r>
      <w:r>
        <w:rPr>
          <w:rFonts w:hint="eastAsia"/>
        </w:rPr>
        <w:t xml:space="preserve"> </w:t>
      </w:r>
      <w:r>
        <w:rPr>
          <w:rFonts w:hint="eastAsia"/>
        </w:rPr>
        <w:t>淋溶柱</w:t>
      </w:r>
    </w:p>
    <w:p w:rsidR="00E87AEA" w:rsidRDefault="006A25F0">
      <w:pPr>
        <w:pStyle w:val="ab"/>
        <w:spacing w:before="156" w:after="156"/>
      </w:pPr>
      <w:r>
        <w:rPr>
          <w:rFonts w:hint="eastAsia"/>
        </w:rPr>
        <w:t>养分保持率测定装置</w:t>
      </w:r>
    </w:p>
    <w:p w:rsidR="00E87AEA" w:rsidRDefault="006A25F0">
      <w:pPr>
        <w:pStyle w:val="af9"/>
        <w:spacing w:before="312" w:after="312"/>
      </w:pPr>
      <w:r>
        <w:rPr>
          <w:rFonts w:hint="eastAsia"/>
        </w:rPr>
        <w:t>操作步骤</w:t>
      </w:r>
    </w:p>
    <w:p w:rsidR="00E87AEA" w:rsidRDefault="006A25F0">
      <w:pPr>
        <w:pStyle w:val="afa"/>
        <w:spacing w:before="156" w:after="156"/>
      </w:pPr>
      <w:r>
        <w:rPr>
          <w:rFonts w:hint="eastAsia"/>
        </w:rPr>
        <w:t>保持性复混（合）肥料</w:t>
      </w:r>
    </w:p>
    <w:p w:rsidR="00E87AEA" w:rsidRDefault="006A25F0">
      <w:pPr>
        <w:pStyle w:val="affffe"/>
      </w:pPr>
      <w:r>
        <w:rPr>
          <w:rFonts w:hint="eastAsia"/>
        </w:rPr>
        <w:lastRenderedPageBreak/>
        <w:t>按</w:t>
      </w:r>
      <w:r>
        <w:t>GB/T 8572</w:t>
      </w:r>
      <w:r>
        <w:t>、</w:t>
      </w:r>
      <w:r>
        <w:t>GB/T 8573</w:t>
      </w:r>
      <w:r>
        <w:t>、</w:t>
      </w:r>
      <w:r>
        <w:t>GB/T 8574</w:t>
      </w:r>
      <w:r>
        <w:t>标准中的方法，分别测定试样中全氮（</w:t>
      </w:r>
      <w:r>
        <w:t>N</w:t>
      </w:r>
      <w:r>
        <w:t>）、</w:t>
      </w:r>
      <w:r>
        <w:rPr>
          <w:rFonts w:hint="eastAsia"/>
        </w:rPr>
        <w:t>有效</w:t>
      </w:r>
      <w:r>
        <w:t>磷（</w:t>
      </w:r>
      <w:r>
        <w:t>P</w:t>
      </w:r>
      <w:r>
        <w:rPr>
          <w:vertAlign w:val="subscript"/>
        </w:rPr>
        <w:t>2</w:t>
      </w:r>
      <w:r>
        <w:t>O</w:t>
      </w:r>
      <w:r>
        <w:rPr>
          <w:vertAlign w:val="subscript"/>
        </w:rPr>
        <w:t>5</w:t>
      </w:r>
      <w:r>
        <w:t>）、</w:t>
      </w:r>
      <w:r>
        <w:rPr>
          <w:rFonts w:hint="eastAsia"/>
        </w:rPr>
        <w:t>氧化</w:t>
      </w:r>
      <w:r>
        <w:t>钾（</w:t>
      </w:r>
      <w:r>
        <w:t>K</w:t>
      </w:r>
      <w:r>
        <w:rPr>
          <w:vertAlign w:val="subscript"/>
        </w:rPr>
        <w:t>2</w:t>
      </w:r>
      <w:r>
        <w:t>O</w:t>
      </w:r>
      <w:r>
        <w:t>）含量。</w:t>
      </w:r>
    </w:p>
    <w:p w:rsidR="00E87AEA" w:rsidRDefault="006A25F0">
      <w:pPr>
        <w:pStyle w:val="affffe"/>
      </w:pPr>
      <w:r>
        <w:rPr>
          <w:rFonts w:hint="eastAsia"/>
        </w:rPr>
        <w:t>在淋溶柱中装入石英砂</w:t>
      </w:r>
      <w:r>
        <w:rPr>
          <w:rFonts w:hint="eastAsia"/>
        </w:rPr>
        <w:t>90.0g</w:t>
      </w:r>
      <w:r>
        <w:rPr>
          <w:rFonts w:hint="eastAsia"/>
        </w:rPr>
        <w:t>，将蠕动泵出水管连接到淋溶柱下端的管口</w:t>
      </w:r>
      <w:r>
        <w:rPr>
          <w:rFonts w:hint="eastAsia"/>
        </w:rPr>
        <w:t>4</w:t>
      </w:r>
      <w:r>
        <w:rPr>
          <w:rFonts w:hint="eastAsia"/>
        </w:rPr>
        <w:t>，用橡皮塞塞紧管口</w:t>
      </w:r>
      <w:r>
        <w:rPr>
          <w:rFonts w:hint="eastAsia"/>
        </w:rPr>
        <w:t>1</w:t>
      </w:r>
      <w:r>
        <w:rPr>
          <w:rFonts w:hint="eastAsia"/>
        </w:rPr>
        <w:t>。</w:t>
      </w:r>
    </w:p>
    <w:p w:rsidR="00E87AEA" w:rsidRDefault="006A25F0">
      <w:pPr>
        <w:pStyle w:val="affffe"/>
      </w:pPr>
      <w:r>
        <w:rPr>
          <w:rFonts w:hint="eastAsia"/>
        </w:rPr>
        <w:t>正向转动蠕动泵将蒸馏水（</w:t>
      </w:r>
      <w:r>
        <w:rPr>
          <w:rFonts w:hint="eastAsia"/>
        </w:rPr>
        <w:t>25</w:t>
      </w:r>
      <w:r>
        <w:rPr>
          <w:rFonts w:hint="eastAsia"/>
        </w:rPr>
        <w:t>℃）从管口</w:t>
      </w:r>
      <w:r>
        <w:rPr>
          <w:rFonts w:hint="eastAsia"/>
        </w:rPr>
        <w:t>4</w:t>
      </w:r>
      <w:r>
        <w:rPr>
          <w:rFonts w:hint="eastAsia"/>
        </w:rPr>
        <w:t>压入淋溶柱，当管口</w:t>
      </w:r>
      <w:r>
        <w:rPr>
          <w:rFonts w:hint="eastAsia"/>
        </w:rPr>
        <w:t>2</w:t>
      </w:r>
      <w:r>
        <w:rPr>
          <w:rFonts w:hint="eastAsia"/>
        </w:rPr>
        <w:t>有水流出时，将蠕动泵进水管从蒸馏水中取出，反向转动蠕动泵，将淋溶柱中的水反向吸出，当水位降至石英砂平面上约</w:t>
      </w:r>
      <w:r>
        <w:rPr>
          <w:rFonts w:hint="eastAsia"/>
        </w:rPr>
        <w:t>15mm</w:t>
      </w:r>
      <w:r>
        <w:rPr>
          <w:rFonts w:hint="eastAsia"/>
        </w:rPr>
        <w:t>时，暂停蠕动泵并取下橡皮塞，用打孔器在砂柱中央轻轻转动，插入石英砂平面</w:t>
      </w:r>
      <w:r>
        <w:rPr>
          <w:rFonts w:hint="eastAsia"/>
        </w:rPr>
        <w:t>30mm</w:t>
      </w:r>
      <w:r>
        <w:rPr>
          <w:rFonts w:hint="eastAsia"/>
        </w:rPr>
        <w:t>深，然后使蠕动泵继续反向转动，至液面下落至距石英砂平面下</w:t>
      </w:r>
      <w:r>
        <w:rPr>
          <w:rFonts w:hint="eastAsia"/>
        </w:rPr>
        <w:t>35mm</w:t>
      </w:r>
      <w:r>
        <w:rPr>
          <w:rFonts w:hint="eastAsia"/>
        </w:rPr>
        <w:t>处，暂停蠕动泵。缓慢旋转出打孔器，砂柱形成一个直径</w:t>
      </w:r>
      <w:r>
        <w:rPr>
          <w:rFonts w:hint="eastAsia"/>
        </w:rPr>
        <w:t>12mm</w:t>
      </w:r>
      <w:r>
        <w:rPr>
          <w:rFonts w:hint="eastAsia"/>
        </w:rPr>
        <w:t>、深</w:t>
      </w:r>
      <w:r>
        <w:rPr>
          <w:rFonts w:hint="eastAsia"/>
        </w:rPr>
        <w:t>30mm</w:t>
      </w:r>
      <w:r>
        <w:rPr>
          <w:rFonts w:hint="eastAsia"/>
        </w:rPr>
        <w:t>圆柱坑。</w:t>
      </w:r>
    </w:p>
    <w:p w:rsidR="00E87AEA" w:rsidRDefault="006A25F0">
      <w:pPr>
        <w:pStyle w:val="affffe"/>
      </w:pPr>
      <w:r>
        <w:rPr>
          <w:rFonts w:hint="eastAsia"/>
        </w:rPr>
        <w:t>称取试样</w:t>
      </w:r>
      <w:r>
        <w:rPr>
          <w:rFonts w:hint="eastAsia"/>
        </w:rPr>
        <w:t>2.000g</w:t>
      </w:r>
      <w:r>
        <w:rPr>
          <w:rFonts w:hint="eastAsia"/>
        </w:rPr>
        <w:t>，用漏斗倒入淋溶砂柱中央位置圆坑内，在试样上覆盖</w:t>
      </w:r>
      <w:r>
        <w:rPr>
          <w:rFonts w:hint="eastAsia"/>
        </w:rPr>
        <w:t>40.0g</w:t>
      </w:r>
      <w:r>
        <w:rPr>
          <w:rFonts w:hint="eastAsia"/>
        </w:rPr>
        <w:t>石英砂（使石英砂上平面与淋溶柱支口大约</w:t>
      </w:r>
      <w:r>
        <w:rPr>
          <w:rFonts w:hint="eastAsia"/>
        </w:rPr>
        <w:t>平行，确保淋溶液漫出石英砂平面时，即可流出）。</w:t>
      </w:r>
    </w:p>
    <w:p w:rsidR="00E87AEA" w:rsidRDefault="006A25F0">
      <w:pPr>
        <w:pStyle w:val="affffe"/>
      </w:pPr>
      <w:r>
        <w:rPr>
          <w:rFonts w:hint="eastAsia"/>
        </w:rPr>
        <w:t>用橡皮塞塞紧管口</w:t>
      </w:r>
      <w:r>
        <w:rPr>
          <w:rFonts w:hint="eastAsia"/>
        </w:rPr>
        <w:t>1</w:t>
      </w:r>
      <w:r>
        <w:rPr>
          <w:rFonts w:hint="eastAsia"/>
        </w:rPr>
        <w:t>，调节蠕动泵流速为</w:t>
      </w:r>
      <w:r>
        <w:rPr>
          <w:rFonts w:hint="eastAsia"/>
        </w:rPr>
        <w:t>(13</w:t>
      </w:r>
      <w:r>
        <w:rPr>
          <w:rFonts w:hint="eastAsia"/>
        </w:rPr>
        <w:t>±</w:t>
      </w:r>
      <w:r>
        <w:rPr>
          <w:rFonts w:hint="eastAsia"/>
        </w:rPr>
        <w:t>0.5) mL/min</w:t>
      </w:r>
      <w:r>
        <w:rPr>
          <w:rFonts w:hint="eastAsia"/>
        </w:rPr>
        <w:t>，正向转动蠕动泵将蒸馏水（</w:t>
      </w:r>
      <w:r>
        <w:rPr>
          <w:rFonts w:hint="eastAsia"/>
        </w:rPr>
        <w:t>25</w:t>
      </w:r>
      <w:r>
        <w:rPr>
          <w:rFonts w:hint="eastAsia"/>
        </w:rPr>
        <w:t>℃）从管口</w:t>
      </w:r>
      <w:r>
        <w:rPr>
          <w:rFonts w:hint="eastAsia"/>
        </w:rPr>
        <w:t>4</w:t>
      </w:r>
      <w:r>
        <w:rPr>
          <w:rFonts w:hint="eastAsia"/>
        </w:rPr>
        <w:t>压入淋溶柱</w:t>
      </w:r>
      <w:r>
        <w:rPr>
          <w:rFonts w:hint="eastAsia"/>
        </w:rPr>
        <w:t>,</w:t>
      </w:r>
      <w:r>
        <w:rPr>
          <w:rFonts w:hint="eastAsia"/>
        </w:rPr>
        <w:t>将</w:t>
      </w:r>
      <w:r>
        <w:rPr>
          <w:rFonts w:hint="eastAsia"/>
        </w:rPr>
        <w:t>200ml</w:t>
      </w:r>
      <w:r>
        <w:rPr>
          <w:rFonts w:hint="eastAsia"/>
        </w:rPr>
        <w:t>容量瓶放置于管口</w:t>
      </w:r>
      <w:r>
        <w:rPr>
          <w:rFonts w:hint="eastAsia"/>
        </w:rPr>
        <w:t>2</w:t>
      </w:r>
      <w:r>
        <w:rPr>
          <w:rFonts w:hint="eastAsia"/>
        </w:rPr>
        <w:t>下端接受淋溶液，待淋溶液至刻度线时停止接收，摇匀。</w:t>
      </w:r>
    </w:p>
    <w:p w:rsidR="00E87AEA" w:rsidRDefault="006A25F0">
      <w:pPr>
        <w:pStyle w:val="affffe"/>
      </w:pPr>
      <w:r>
        <w:rPr>
          <w:rFonts w:hint="eastAsia"/>
        </w:rPr>
        <w:t>按</w:t>
      </w:r>
      <w:r>
        <w:t>GB/T 8572</w:t>
      </w:r>
      <w:r>
        <w:rPr>
          <w:rFonts w:hint="eastAsia"/>
        </w:rPr>
        <w:t>中</w:t>
      </w:r>
      <w:r>
        <w:rPr>
          <w:rFonts w:hint="eastAsia"/>
        </w:rPr>
        <w:t>6.2.3</w:t>
      </w:r>
      <w:r>
        <w:t>、</w:t>
      </w:r>
      <w:r>
        <w:t>GB/T 8573</w:t>
      </w:r>
      <w:r>
        <w:t>、</w:t>
      </w:r>
      <w:r>
        <w:t>GB/T 8574</w:t>
      </w:r>
      <w:r>
        <w:t>标准中的方法，</w:t>
      </w:r>
      <w:r>
        <w:rPr>
          <w:rFonts w:hint="eastAsia"/>
        </w:rPr>
        <w:t>分别取一定体积淋溶液，测定淋溶液</w:t>
      </w:r>
      <w:r>
        <w:t>全氮（</w:t>
      </w:r>
      <w:r>
        <w:t>N</w:t>
      </w:r>
      <w:r>
        <w:t>）、</w:t>
      </w:r>
      <w:r>
        <w:rPr>
          <w:rFonts w:hint="eastAsia"/>
        </w:rPr>
        <w:t>有效</w:t>
      </w:r>
      <w:r>
        <w:t>磷（</w:t>
      </w:r>
      <w:r>
        <w:t>P</w:t>
      </w:r>
      <w:r>
        <w:rPr>
          <w:vertAlign w:val="subscript"/>
        </w:rPr>
        <w:t>2</w:t>
      </w:r>
      <w:r>
        <w:t>O</w:t>
      </w:r>
      <w:r>
        <w:rPr>
          <w:vertAlign w:val="subscript"/>
        </w:rPr>
        <w:t>5</w:t>
      </w:r>
      <w:r>
        <w:t>）、</w:t>
      </w:r>
      <w:r>
        <w:rPr>
          <w:rFonts w:hint="eastAsia"/>
        </w:rPr>
        <w:t>氧化</w:t>
      </w:r>
      <w:r>
        <w:t>钾（</w:t>
      </w:r>
      <w:r>
        <w:t>K</w:t>
      </w:r>
      <w:r>
        <w:rPr>
          <w:vertAlign w:val="subscript"/>
        </w:rPr>
        <w:t>2</w:t>
      </w:r>
      <w:r>
        <w:t>O</w:t>
      </w:r>
      <w:r>
        <w:t>）含量。</w:t>
      </w:r>
    </w:p>
    <w:p w:rsidR="00E87AEA" w:rsidRDefault="006A25F0">
      <w:pPr>
        <w:pStyle w:val="afa"/>
        <w:spacing w:before="156" w:after="156"/>
      </w:pPr>
      <w:r>
        <w:rPr>
          <w:rFonts w:hint="eastAsia"/>
        </w:rPr>
        <w:t>保持性掺混肥</w:t>
      </w:r>
    </w:p>
    <w:p w:rsidR="00E87AEA" w:rsidRDefault="006A25F0">
      <w:pPr>
        <w:pStyle w:val="affffe"/>
      </w:pPr>
      <w:r>
        <w:rPr>
          <w:rFonts w:hint="eastAsia"/>
        </w:rPr>
        <w:t>按</w:t>
      </w:r>
      <w:r>
        <w:t>GB/T 10209.1</w:t>
      </w:r>
      <w:r>
        <w:t>、</w:t>
      </w:r>
      <w:r>
        <w:t xml:space="preserve">GB/T </w:t>
      </w:r>
      <w:r>
        <w:t>10209.2</w:t>
      </w:r>
      <w:r>
        <w:t>标准中的方法，分别测定试样中全氮（</w:t>
      </w:r>
      <w:r>
        <w:t>N</w:t>
      </w:r>
      <w:r>
        <w:t>）、</w:t>
      </w:r>
      <w:r>
        <w:rPr>
          <w:rFonts w:hint="eastAsia"/>
        </w:rPr>
        <w:t>有效</w:t>
      </w:r>
      <w:r>
        <w:t>磷（</w:t>
      </w:r>
      <w:r>
        <w:t>P</w:t>
      </w:r>
      <w:r>
        <w:rPr>
          <w:vertAlign w:val="subscript"/>
        </w:rPr>
        <w:t>2</w:t>
      </w:r>
      <w:r>
        <w:t>O</w:t>
      </w:r>
      <w:r>
        <w:rPr>
          <w:vertAlign w:val="subscript"/>
        </w:rPr>
        <w:t>5</w:t>
      </w:r>
      <w:r>
        <w:t>）、</w:t>
      </w:r>
      <w:r>
        <w:rPr>
          <w:rFonts w:hint="eastAsia"/>
        </w:rPr>
        <w:t>氧化</w:t>
      </w:r>
      <w:r>
        <w:t>钾（</w:t>
      </w:r>
      <w:r>
        <w:t>K</w:t>
      </w:r>
      <w:r>
        <w:rPr>
          <w:vertAlign w:val="subscript"/>
        </w:rPr>
        <w:t>2</w:t>
      </w:r>
      <w:r>
        <w:t>O</w:t>
      </w:r>
      <w:r>
        <w:t>）含量。</w:t>
      </w:r>
    </w:p>
    <w:p w:rsidR="00E87AEA" w:rsidRDefault="006A25F0">
      <w:pPr>
        <w:pStyle w:val="affffe"/>
      </w:pPr>
      <w:r>
        <w:rPr>
          <w:rFonts w:hint="eastAsia"/>
        </w:rPr>
        <w:t>在淋溶柱中装入石英砂</w:t>
      </w:r>
      <w:r>
        <w:rPr>
          <w:rFonts w:hint="eastAsia"/>
        </w:rPr>
        <w:t>90.0g</w:t>
      </w:r>
      <w:r>
        <w:rPr>
          <w:rFonts w:hint="eastAsia"/>
        </w:rPr>
        <w:t>，将蠕动泵出水管连接到淋溶柱下端的管口</w:t>
      </w:r>
      <w:r>
        <w:rPr>
          <w:rFonts w:hint="eastAsia"/>
        </w:rPr>
        <w:t>4</w:t>
      </w:r>
      <w:r>
        <w:rPr>
          <w:rFonts w:hint="eastAsia"/>
        </w:rPr>
        <w:t>，用橡皮塞塞紧管口</w:t>
      </w:r>
      <w:r>
        <w:rPr>
          <w:rFonts w:hint="eastAsia"/>
        </w:rPr>
        <w:t>1</w:t>
      </w:r>
      <w:r>
        <w:rPr>
          <w:rFonts w:hint="eastAsia"/>
        </w:rPr>
        <w:t>。</w:t>
      </w:r>
    </w:p>
    <w:p w:rsidR="00E87AEA" w:rsidRDefault="006A25F0">
      <w:pPr>
        <w:pStyle w:val="affffe"/>
      </w:pPr>
      <w:r>
        <w:rPr>
          <w:rFonts w:hint="eastAsia"/>
        </w:rPr>
        <w:t>操作同</w:t>
      </w:r>
      <w:r>
        <w:rPr>
          <w:rFonts w:hint="eastAsia"/>
        </w:rPr>
        <w:t>A.</w:t>
      </w:r>
      <w:r>
        <w:t>4.</w:t>
      </w:r>
      <w:r>
        <w:rPr>
          <w:rFonts w:hint="eastAsia"/>
        </w:rPr>
        <w:t>1.</w:t>
      </w:r>
      <w:r>
        <w:t>2</w:t>
      </w:r>
      <w:r>
        <w:rPr>
          <w:rFonts w:hint="eastAsia"/>
        </w:rPr>
        <w:t>-A.</w:t>
      </w:r>
      <w:r>
        <w:t>4.</w:t>
      </w:r>
      <w:r>
        <w:rPr>
          <w:rFonts w:hint="eastAsia"/>
        </w:rPr>
        <w:t>1.5</w:t>
      </w:r>
      <w:r>
        <w:rPr>
          <w:rFonts w:hint="eastAsia"/>
        </w:rPr>
        <w:t>。</w:t>
      </w:r>
    </w:p>
    <w:p w:rsidR="00E87AEA" w:rsidRDefault="006A25F0">
      <w:pPr>
        <w:pStyle w:val="affffe"/>
      </w:pPr>
      <w:r>
        <w:rPr>
          <w:rFonts w:hint="eastAsia"/>
        </w:rPr>
        <w:t>按</w:t>
      </w:r>
      <w:r>
        <w:t>GB/T 10209.1</w:t>
      </w:r>
      <w:r>
        <w:t>、</w:t>
      </w:r>
      <w:r>
        <w:t>GB/T 10209.2</w:t>
      </w:r>
      <w:r>
        <w:t>标准中的方法，</w:t>
      </w:r>
      <w:r>
        <w:rPr>
          <w:rFonts w:hint="eastAsia"/>
        </w:rPr>
        <w:t>，分别取一定体积淋溶液，测定淋溶液</w:t>
      </w:r>
      <w:r>
        <w:t>全氮（</w:t>
      </w:r>
      <w:r>
        <w:t>N</w:t>
      </w:r>
      <w:r>
        <w:t>）、</w:t>
      </w:r>
      <w:r>
        <w:rPr>
          <w:rFonts w:hint="eastAsia"/>
        </w:rPr>
        <w:t>有效</w:t>
      </w:r>
      <w:r>
        <w:t>磷（</w:t>
      </w:r>
      <w:r>
        <w:t>P</w:t>
      </w:r>
      <w:r>
        <w:rPr>
          <w:vertAlign w:val="subscript"/>
        </w:rPr>
        <w:t>2</w:t>
      </w:r>
      <w:r>
        <w:t>O</w:t>
      </w:r>
      <w:r>
        <w:rPr>
          <w:vertAlign w:val="subscript"/>
        </w:rPr>
        <w:t>5</w:t>
      </w:r>
      <w:r>
        <w:t>）、</w:t>
      </w:r>
      <w:r>
        <w:rPr>
          <w:rFonts w:hint="eastAsia"/>
        </w:rPr>
        <w:t>氧化</w:t>
      </w:r>
      <w:r>
        <w:t>钾（</w:t>
      </w:r>
      <w:r>
        <w:t>K</w:t>
      </w:r>
      <w:r>
        <w:rPr>
          <w:vertAlign w:val="subscript"/>
        </w:rPr>
        <w:t>2</w:t>
      </w:r>
      <w:r>
        <w:t>O</w:t>
      </w:r>
      <w:r>
        <w:t>）含量。</w:t>
      </w:r>
    </w:p>
    <w:p w:rsidR="00E87AEA" w:rsidRDefault="006A25F0">
      <w:pPr>
        <w:pStyle w:val="affffe"/>
        <w:spacing w:before="120" w:after="120"/>
      </w:pPr>
      <w:r>
        <w:rPr>
          <w:rFonts w:hint="eastAsia"/>
        </w:rPr>
        <w:t>保持性磷酸二铵</w:t>
      </w:r>
    </w:p>
    <w:p w:rsidR="00E87AEA" w:rsidRDefault="006A25F0">
      <w:pPr>
        <w:pStyle w:val="affffe"/>
      </w:pPr>
      <w:r>
        <w:rPr>
          <w:rFonts w:hint="eastAsia"/>
        </w:rPr>
        <w:t>按</w:t>
      </w:r>
      <w:r>
        <w:rPr>
          <w:rFonts w:hint="eastAsia"/>
        </w:rPr>
        <w:t>GB/T 10209.1</w:t>
      </w:r>
      <w:r>
        <w:rPr>
          <w:rFonts w:hint="eastAsia"/>
        </w:rPr>
        <w:t>、</w:t>
      </w:r>
      <w:r>
        <w:rPr>
          <w:rFonts w:hint="eastAsia"/>
        </w:rPr>
        <w:t>GB/T 10209.2</w:t>
      </w:r>
      <w:r>
        <w:rPr>
          <w:rFonts w:hint="eastAsia"/>
        </w:rPr>
        <w:t>中</w:t>
      </w:r>
      <w:r>
        <w:rPr>
          <w:rFonts w:hint="eastAsia"/>
        </w:rPr>
        <w:t>6.1.4</w:t>
      </w:r>
      <w:r>
        <w:rPr>
          <w:rFonts w:hint="eastAsia"/>
        </w:rPr>
        <w:t>标准中的方法，分别测定试样中全氮（</w:t>
      </w:r>
      <w:r>
        <w:rPr>
          <w:rFonts w:hint="eastAsia"/>
        </w:rPr>
        <w:t>N</w:t>
      </w:r>
      <w:r>
        <w:rPr>
          <w:rFonts w:hint="eastAsia"/>
        </w:rPr>
        <w:t>）、有效</w:t>
      </w:r>
      <w:r>
        <w:rPr>
          <w:rFonts w:hint="eastAsia"/>
        </w:rPr>
        <w:t>磷（</w:t>
      </w:r>
      <w:r>
        <w:rPr>
          <w:rFonts w:hint="eastAsia"/>
        </w:rPr>
        <w:t>P</w:t>
      </w:r>
      <w:r>
        <w:rPr>
          <w:rFonts w:hint="eastAsia"/>
          <w:vertAlign w:val="subscript"/>
        </w:rPr>
        <w:t>2</w:t>
      </w:r>
      <w:r>
        <w:rPr>
          <w:rFonts w:hint="eastAsia"/>
        </w:rPr>
        <w:t>O</w:t>
      </w:r>
      <w:r>
        <w:rPr>
          <w:rFonts w:hint="eastAsia"/>
          <w:vertAlign w:val="subscript"/>
        </w:rPr>
        <w:t>5</w:t>
      </w:r>
      <w:r>
        <w:rPr>
          <w:rFonts w:hint="eastAsia"/>
        </w:rPr>
        <w:t>）养分含量。</w:t>
      </w:r>
    </w:p>
    <w:p w:rsidR="00E87AEA" w:rsidRDefault="006A25F0">
      <w:pPr>
        <w:pStyle w:val="affffe"/>
      </w:pPr>
      <w:r>
        <w:rPr>
          <w:rFonts w:hint="eastAsia"/>
        </w:rPr>
        <w:t>在淋溶柱中装入石英砂</w:t>
      </w:r>
      <w:r>
        <w:rPr>
          <w:rFonts w:hint="eastAsia"/>
        </w:rPr>
        <w:t>90.0g</w:t>
      </w:r>
      <w:r>
        <w:rPr>
          <w:rFonts w:hint="eastAsia"/>
        </w:rPr>
        <w:t>，将蠕动泵出水管连接到淋溶柱下端的管口</w:t>
      </w:r>
      <w:r>
        <w:rPr>
          <w:rFonts w:hint="eastAsia"/>
        </w:rPr>
        <w:t>4</w:t>
      </w:r>
      <w:r>
        <w:rPr>
          <w:rFonts w:hint="eastAsia"/>
        </w:rPr>
        <w:t>，用橡皮塞塞紧管口</w:t>
      </w:r>
      <w:r>
        <w:rPr>
          <w:rFonts w:hint="eastAsia"/>
        </w:rPr>
        <w:t>1</w:t>
      </w:r>
      <w:r>
        <w:rPr>
          <w:rFonts w:hint="eastAsia"/>
        </w:rPr>
        <w:t>。</w:t>
      </w:r>
    </w:p>
    <w:p w:rsidR="00E87AEA" w:rsidRDefault="006A25F0">
      <w:pPr>
        <w:pStyle w:val="affffe"/>
      </w:pPr>
      <w:r>
        <w:rPr>
          <w:rFonts w:hint="eastAsia"/>
        </w:rPr>
        <w:t>操作同</w:t>
      </w:r>
      <w:r>
        <w:rPr>
          <w:rFonts w:hint="eastAsia"/>
        </w:rPr>
        <w:t>A.</w:t>
      </w:r>
      <w:r>
        <w:t>4.</w:t>
      </w:r>
      <w:r>
        <w:rPr>
          <w:rFonts w:hint="eastAsia"/>
        </w:rPr>
        <w:t>1.</w:t>
      </w:r>
      <w:r>
        <w:t>2</w:t>
      </w:r>
      <w:r>
        <w:rPr>
          <w:rFonts w:hint="eastAsia"/>
        </w:rPr>
        <w:t>-A.</w:t>
      </w:r>
      <w:r>
        <w:t>4.</w:t>
      </w:r>
      <w:r>
        <w:rPr>
          <w:rFonts w:hint="eastAsia"/>
        </w:rPr>
        <w:t>1.5</w:t>
      </w:r>
      <w:r>
        <w:rPr>
          <w:rFonts w:hint="eastAsia"/>
        </w:rPr>
        <w:t>。</w:t>
      </w:r>
    </w:p>
    <w:p w:rsidR="00E87AEA" w:rsidRDefault="006A25F0">
      <w:pPr>
        <w:pStyle w:val="affffe"/>
      </w:pPr>
      <w:r>
        <w:rPr>
          <w:rFonts w:hint="eastAsia"/>
        </w:rPr>
        <w:t>按</w:t>
      </w:r>
      <w:r>
        <w:rPr>
          <w:rFonts w:hint="eastAsia"/>
        </w:rPr>
        <w:t>GB/T 10209.1</w:t>
      </w:r>
      <w:r>
        <w:rPr>
          <w:rFonts w:hint="eastAsia"/>
        </w:rPr>
        <w:t>、</w:t>
      </w:r>
      <w:r>
        <w:rPr>
          <w:rFonts w:hint="eastAsia"/>
        </w:rPr>
        <w:t>GB/T 10209.2</w:t>
      </w:r>
      <w:r>
        <w:rPr>
          <w:rFonts w:hint="eastAsia"/>
        </w:rPr>
        <w:t>标准中的方法，分别取一定体积淋溶液，测定淋溶液全氮（</w:t>
      </w:r>
      <w:r>
        <w:rPr>
          <w:rFonts w:hint="eastAsia"/>
        </w:rPr>
        <w:t>N</w:t>
      </w:r>
      <w:r>
        <w:rPr>
          <w:rFonts w:hint="eastAsia"/>
        </w:rPr>
        <w:t>）、有效磷（</w:t>
      </w:r>
      <w:r>
        <w:rPr>
          <w:rFonts w:hint="eastAsia"/>
        </w:rPr>
        <w:t>P</w:t>
      </w:r>
      <w:r>
        <w:rPr>
          <w:rFonts w:hint="eastAsia"/>
          <w:vertAlign w:val="subscript"/>
        </w:rPr>
        <w:t>2</w:t>
      </w:r>
      <w:r>
        <w:rPr>
          <w:rFonts w:hint="eastAsia"/>
        </w:rPr>
        <w:t>O</w:t>
      </w:r>
      <w:r>
        <w:rPr>
          <w:rFonts w:hint="eastAsia"/>
          <w:vertAlign w:val="subscript"/>
        </w:rPr>
        <w:t>5</w:t>
      </w:r>
      <w:r>
        <w:rPr>
          <w:rFonts w:hint="eastAsia"/>
        </w:rPr>
        <w:t>）含量。</w:t>
      </w:r>
    </w:p>
    <w:p w:rsidR="00E87AEA" w:rsidRDefault="006A25F0">
      <w:pPr>
        <w:pStyle w:val="af9"/>
        <w:spacing w:before="312" w:after="312"/>
      </w:pPr>
      <w:r>
        <w:rPr>
          <w:rFonts w:hint="eastAsia"/>
        </w:rPr>
        <w:t>分析结果的表述</w:t>
      </w:r>
    </w:p>
    <w:p w:rsidR="00E87AEA" w:rsidRDefault="006A25F0">
      <w:pPr>
        <w:pStyle w:val="afa"/>
        <w:spacing w:before="156" w:after="156"/>
      </w:pPr>
      <w:r>
        <w:rPr>
          <w:rFonts w:hint="eastAsia"/>
        </w:rPr>
        <w:t>保持性复混（合）肥料、保持性掺混肥养分保持率计算</w:t>
      </w:r>
    </w:p>
    <w:p w:rsidR="00E87AEA" w:rsidRDefault="006A25F0">
      <w:pPr>
        <w:widowControl/>
        <w:tabs>
          <w:tab w:val="center" w:pos="4201"/>
          <w:tab w:val="right" w:leader="dot" w:pos="9298"/>
        </w:tabs>
        <w:autoSpaceDE w:val="0"/>
        <w:autoSpaceDN w:val="0"/>
        <w:spacing w:before="156" w:after="156"/>
        <w:ind w:firstLineChars="200" w:firstLine="420"/>
      </w:pPr>
      <w:r>
        <w:rPr>
          <w:rFonts w:ascii="宋体" w:hint="eastAsia"/>
          <w:kern w:val="0"/>
        </w:rPr>
        <w:t>养分保持率</w:t>
      </w:r>
      <w:r>
        <w:rPr>
          <w:rFonts w:ascii="宋体" w:hint="eastAsia"/>
          <w:kern w:val="0"/>
        </w:rPr>
        <w:t>X</w:t>
      </w:r>
      <w:r>
        <w:rPr>
          <w:rFonts w:ascii="宋体" w:hint="eastAsia"/>
          <w:kern w:val="0"/>
        </w:rPr>
        <w:t>（</w:t>
      </w:r>
      <w:r>
        <w:rPr>
          <w:rFonts w:ascii="宋体" w:hint="eastAsia"/>
          <w:kern w:val="0"/>
        </w:rPr>
        <w:t>%</w:t>
      </w:r>
      <w:r>
        <w:rPr>
          <w:rFonts w:ascii="宋体" w:hint="eastAsia"/>
          <w:kern w:val="0"/>
        </w:rPr>
        <w:t>）</w:t>
      </w:r>
      <w:r>
        <w:rPr>
          <w:rFonts w:hint="eastAsia"/>
        </w:rPr>
        <w:t>按公式（</w:t>
      </w:r>
      <w:r>
        <w:rPr>
          <w:rFonts w:hint="eastAsia"/>
        </w:rPr>
        <w:t>A.1</w:t>
      </w:r>
      <w:r>
        <w:rPr>
          <w:rFonts w:hint="eastAsia"/>
        </w:rPr>
        <w:t>）进行计算，计算结果保留三位有效数字。</w:t>
      </w:r>
    </w:p>
    <w:p w:rsidR="00E87AEA" w:rsidRDefault="006A25F0">
      <w:pPr>
        <w:pStyle w:val="afffff0"/>
        <w:ind w:firstLine="1050"/>
      </w:pPr>
      <w:r>
        <w:tab/>
      </w:r>
      <w:r>
        <w:rPr>
          <w:rFonts w:hint="eastAsia"/>
          <w:position w:val="-30"/>
        </w:rPr>
        <w:object w:dxaOrig="4305" w:dyaOrig="675">
          <v:shape id="_x0000_i1028" type="#_x0000_t75" style="width:215.25pt;height:33.75pt" o:ole="">
            <v:imagedata r:id="rId16" o:title=""/>
          </v:shape>
          <o:OLEObject Type="Embed" ProgID="Equation.3" ShapeID="_x0000_i1028" DrawAspect="Content" ObjectID="_1565430031" r:id="rId17"/>
        </w:object>
      </w:r>
      <w:r>
        <w:tab/>
        <w:t>(</w:t>
      </w:r>
      <w:r>
        <w:rPr>
          <w:rFonts w:ascii="Times New Roman" w:hint="eastAsia"/>
          <w:kern w:val="2"/>
          <w:szCs w:val="24"/>
        </w:rPr>
        <w:fldChar w:fldCharType="begin"/>
      </w:r>
      <w:r>
        <w:rPr>
          <w:rFonts w:ascii="Times New Roman" w:hint="eastAsia"/>
          <w:kern w:val="2"/>
          <w:szCs w:val="24"/>
        </w:rPr>
        <w:instrText xml:space="preserve"> STYLEREF  </w:instrText>
      </w:r>
      <w:r>
        <w:rPr>
          <w:rFonts w:ascii="Times New Roman" w:hint="eastAsia"/>
          <w:kern w:val="2"/>
          <w:szCs w:val="24"/>
        </w:rPr>
        <w:instrText>附录标识</w:instrText>
      </w:r>
      <w:r>
        <w:rPr>
          <w:rFonts w:ascii="Times New Roman" w:hint="eastAsia"/>
          <w:kern w:val="2"/>
          <w:szCs w:val="24"/>
        </w:rPr>
        <w:instrText xml:space="preserve"> \l \n \t \* MERGEFORMAT </w:instrText>
      </w:r>
      <w:r>
        <w:rPr>
          <w:rFonts w:ascii="Times New Roman" w:hint="eastAsia"/>
          <w:kern w:val="2"/>
          <w:szCs w:val="24"/>
        </w:rPr>
        <w:fldChar w:fldCharType="separate"/>
      </w:r>
      <w:r>
        <w:rPr>
          <w:rFonts w:ascii="Times New Roman"/>
          <w:kern w:val="2"/>
          <w:szCs w:val="24"/>
        </w:rPr>
        <w:t>A</w:t>
      </w:r>
      <w:r>
        <w:rPr>
          <w:rFonts w:ascii="Times New Roman" w:hint="eastAsia"/>
          <w:kern w:val="2"/>
          <w:szCs w:val="24"/>
        </w:rPr>
        <w:fldChar w:fldCharType="end"/>
      </w:r>
      <w:r>
        <w:rPr>
          <w:rFonts w:ascii="Times New Roman" w:hint="eastAsia"/>
          <w:kern w:val="2"/>
          <w:szCs w:val="24"/>
        </w:rPr>
        <w:t>.</w:t>
      </w:r>
      <w:r>
        <w:rPr>
          <w:rFonts w:ascii="Times New Roman" w:hint="eastAsia"/>
          <w:kern w:val="2"/>
          <w:szCs w:val="24"/>
        </w:rPr>
        <w:fldChar w:fldCharType="begin"/>
      </w:r>
      <w:r>
        <w:rPr>
          <w:rFonts w:ascii="Times New Roman" w:hint="eastAsia"/>
          <w:kern w:val="2"/>
          <w:szCs w:val="24"/>
        </w:rPr>
        <w:instrText xml:space="preserve"> seq </w:instrText>
      </w:r>
      <w:r>
        <w:rPr>
          <w:rFonts w:ascii="Times New Roman" w:hint="eastAsia"/>
          <w:kern w:val="2"/>
          <w:szCs w:val="24"/>
        </w:rPr>
        <w:instrText>附录公式</w:instrText>
      </w:r>
      <w:r>
        <w:rPr>
          <w:rFonts w:ascii="Times New Roman" w:hint="eastAsia"/>
          <w:kern w:val="2"/>
          <w:szCs w:val="24"/>
        </w:rPr>
        <w:instrText xml:space="preserve"> \r 1 </w:instrText>
      </w:r>
      <w:r>
        <w:rPr>
          <w:rFonts w:ascii="Times New Roman" w:hint="eastAsia"/>
          <w:kern w:val="2"/>
          <w:szCs w:val="24"/>
        </w:rPr>
        <w:fldChar w:fldCharType="separate"/>
      </w:r>
      <w:r>
        <w:rPr>
          <w:rFonts w:ascii="Times New Roman"/>
          <w:kern w:val="2"/>
          <w:szCs w:val="24"/>
        </w:rPr>
        <w:t>1</w:t>
      </w:r>
      <w:r>
        <w:rPr>
          <w:rFonts w:ascii="Times New Roman" w:hint="eastAsia"/>
          <w:kern w:val="2"/>
          <w:szCs w:val="24"/>
        </w:rPr>
        <w:fldChar w:fldCharType="end"/>
      </w:r>
      <w:r>
        <w:t>)</w:t>
      </w:r>
    </w:p>
    <w:p w:rsidR="00E87AEA" w:rsidRDefault="006A25F0">
      <w:pPr>
        <w:pStyle w:val="affd"/>
      </w:pPr>
      <w:r>
        <w:rPr>
          <w:rFonts w:hint="eastAsia"/>
        </w:rPr>
        <w:t>式中：</w:t>
      </w:r>
    </w:p>
    <w:p w:rsidR="00E87AEA" w:rsidRDefault="006A25F0">
      <w:pPr>
        <w:pStyle w:val="affd"/>
      </w:pPr>
      <w:r>
        <w:rPr>
          <w:rFonts w:hint="eastAsia"/>
          <w:i/>
        </w:rPr>
        <w:lastRenderedPageBreak/>
        <w:t>N</w:t>
      </w:r>
      <w:r>
        <w:rPr>
          <w:rFonts w:hint="eastAsia"/>
          <w:i/>
          <w:vertAlign w:val="subscript"/>
        </w:rPr>
        <w:t>CK</w:t>
      </w:r>
      <w:r>
        <w:rPr>
          <w:rFonts w:hint="eastAsia"/>
        </w:rPr>
        <w:t>——对照试样淋溶液中全氮（</w:t>
      </w:r>
      <w:r>
        <w:rPr>
          <w:rFonts w:hint="eastAsia"/>
        </w:rPr>
        <w:t>N</w:t>
      </w:r>
      <w:r>
        <w:rPr>
          <w:rFonts w:hint="eastAsia"/>
        </w:rPr>
        <w:t>）的含量，</w:t>
      </w:r>
      <w:r>
        <w:rPr>
          <w:rFonts w:hint="eastAsia"/>
        </w:rPr>
        <w:t>%</w:t>
      </w:r>
      <w:r>
        <w:rPr>
          <w:rFonts w:hint="eastAsia"/>
        </w:rPr>
        <w:t>；</w:t>
      </w:r>
    </w:p>
    <w:p w:rsidR="00E87AEA" w:rsidRDefault="006A25F0">
      <w:pPr>
        <w:pStyle w:val="affd"/>
      </w:pPr>
      <w:r>
        <w:rPr>
          <w:rFonts w:hint="eastAsia"/>
          <w:i/>
        </w:rPr>
        <w:t>P</w:t>
      </w:r>
      <w:r>
        <w:rPr>
          <w:rFonts w:hint="eastAsia"/>
          <w:i/>
          <w:vertAlign w:val="subscript"/>
        </w:rPr>
        <w:t>CK</w:t>
      </w:r>
      <w:r>
        <w:rPr>
          <w:rFonts w:hint="eastAsia"/>
        </w:rPr>
        <w:t>——对照试样淋溶液中</w:t>
      </w:r>
      <w:r>
        <w:rPr>
          <w:rFonts w:ascii="Times New Roman" w:hint="eastAsia"/>
          <w:kern w:val="21"/>
        </w:rPr>
        <w:t>有效</w:t>
      </w:r>
      <w:r>
        <w:rPr>
          <w:rFonts w:hint="eastAsia"/>
        </w:rPr>
        <w:t>磷（</w:t>
      </w:r>
      <w:r>
        <w:rPr>
          <w:rFonts w:hint="eastAsia"/>
        </w:rPr>
        <w:t>P</w:t>
      </w:r>
      <w:r>
        <w:rPr>
          <w:rFonts w:hint="eastAsia"/>
          <w:vertAlign w:val="subscript"/>
        </w:rPr>
        <w:t>2</w:t>
      </w:r>
      <w:r>
        <w:rPr>
          <w:rFonts w:hint="eastAsia"/>
        </w:rPr>
        <w:t>O</w:t>
      </w:r>
      <w:r>
        <w:rPr>
          <w:rFonts w:hint="eastAsia"/>
          <w:vertAlign w:val="subscript"/>
        </w:rPr>
        <w:t>5</w:t>
      </w:r>
      <w:r>
        <w:rPr>
          <w:rFonts w:hint="eastAsia"/>
        </w:rPr>
        <w:t>）的含量，</w:t>
      </w:r>
      <w:r>
        <w:rPr>
          <w:rFonts w:hint="eastAsia"/>
        </w:rPr>
        <w:t>%</w:t>
      </w:r>
      <w:r>
        <w:rPr>
          <w:rFonts w:hint="eastAsia"/>
        </w:rPr>
        <w:t>；</w:t>
      </w:r>
    </w:p>
    <w:p w:rsidR="00E87AEA" w:rsidRDefault="006A25F0">
      <w:pPr>
        <w:pStyle w:val="affd"/>
        <w:rPr>
          <w:i/>
        </w:rPr>
      </w:pPr>
      <w:r>
        <w:rPr>
          <w:rFonts w:hint="eastAsia"/>
          <w:i/>
        </w:rPr>
        <w:t>K</w:t>
      </w:r>
      <w:r>
        <w:rPr>
          <w:rFonts w:hint="eastAsia"/>
          <w:i/>
          <w:vertAlign w:val="subscript"/>
        </w:rPr>
        <w:t>CK</w:t>
      </w:r>
      <w:r>
        <w:rPr>
          <w:rFonts w:hint="eastAsia"/>
        </w:rPr>
        <w:t>——对照试样淋溶液中钾（</w:t>
      </w:r>
      <w:r>
        <w:rPr>
          <w:rFonts w:hint="eastAsia"/>
        </w:rPr>
        <w:t>k</w:t>
      </w:r>
      <w:r>
        <w:rPr>
          <w:rFonts w:hint="eastAsia"/>
          <w:vertAlign w:val="subscript"/>
        </w:rPr>
        <w:t>2</w:t>
      </w:r>
      <w:r>
        <w:rPr>
          <w:rFonts w:hint="eastAsia"/>
        </w:rPr>
        <w:t>O</w:t>
      </w:r>
      <w:r>
        <w:rPr>
          <w:rFonts w:hint="eastAsia"/>
        </w:rPr>
        <w:t>）的含量，</w:t>
      </w:r>
      <w:r>
        <w:rPr>
          <w:rFonts w:hint="eastAsia"/>
        </w:rPr>
        <w:t>%</w:t>
      </w:r>
      <w:r>
        <w:rPr>
          <w:rFonts w:hint="eastAsia"/>
        </w:rPr>
        <w:t>；</w:t>
      </w:r>
    </w:p>
    <w:p w:rsidR="00E87AEA" w:rsidRDefault="006A25F0">
      <w:pPr>
        <w:pStyle w:val="affd"/>
      </w:pPr>
      <w:r>
        <w:rPr>
          <w:rFonts w:hint="eastAsia"/>
          <w:i/>
        </w:rPr>
        <w:t>N</w:t>
      </w:r>
      <w:r>
        <w:rPr>
          <w:rFonts w:hint="eastAsia"/>
          <w:i/>
          <w:vertAlign w:val="subscript"/>
        </w:rPr>
        <w:t>1</w:t>
      </w:r>
      <w:r>
        <w:rPr>
          <w:rFonts w:hint="eastAsia"/>
        </w:rPr>
        <w:t>——保持肥试样淋溶液中全氮（</w:t>
      </w:r>
      <w:r>
        <w:rPr>
          <w:rFonts w:hint="eastAsia"/>
        </w:rPr>
        <w:t>N</w:t>
      </w:r>
      <w:r>
        <w:rPr>
          <w:rFonts w:hint="eastAsia"/>
        </w:rPr>
        <w:t>）的含量，</w:t>
      </w:r>
      <w:r>
        <w:rPr>
          <w:rFonts w:hint="eastAsia"/>
        </w:rPr>
        <w:t>%</w:t>
      </w:r>
      <w:r>
        <w:rPr>
          <w:rFonts w:hint="eastAsia"/>
        </w:rPr>
        <w:t>；</w:t>
      </w:r>
    </w:p>
    <w:p w:rsidR="00E87AEA" w:rsidRDefault="006A25F0">
      <w:pPr>
        <w:pStyle w:val="affd"/>
      </w:pPr>
      <w:r>
        <w:rPr>
          <w:rFonts w:hint="eastAsia"/>
          <w:i/>
        </w:rPr>
        <w:t>P</w:t>
      </w:r>
      <w:r>
        <w:rPr>
          <w:rFonts w:hint="eastAsia"/>
          <w:i/>
          <w:vertAlign w:val="subscript"/>
        </w:rPr>
        <w:t>1</w:t>
      </w:r>
      <w:r>
        <w:rPr>
          <w:rFonts w:hint="eastAsia"/>
        </w:rPr>
        <w:t>——保持肥试样淋溶液中</w:t>
      </w:r>
      <w:r>
        <w:rPr>
          <w:rFonts w:ascii="Times New Roman" w:hint="eastAsia"/>
          <w:kern w:val="21"/>
        </w:rPr>
        <w:t>有效</w:t>
      </w:r>
      <w:r>
        <w:rPr>
          <w:rFonts w:hint="eastAsia"/>
        </w:rPr>
        <w:t>磷（</w:t>
      </w:r>
      <w:r>
        <w:rPr>
          <w:rFonts w:hint="eastAsia"/>
        </w:rPr>
        <w:t>P</w:t>
      </w:r>
      <w:r>
        <w:rPr>
          <w:rFonts w:hint="eastAsia"/>
          <w:vertAlign w:val="subscript"/>
        </w:rPr>
        <w:t>2</w:t>
      </w:r>
      <w:r>
        <w:rPr>
          <w:rFonts w:hint="eastAsia"/>
        </w:rPr>
        <w:t>O</w:t>
      </w:r>
      <w:r>
        <w:rPr>
          <w:rFonts w:hint="eastAsia"/>
          <w:vertAlign w:val="subscript"/>
        </w:rPr>
        <w:t>5</w:t>
      </w:r>
      <w:r>
        <w:rPr>
          <w:rFonts w:hint="eastAsia"/>
        </w:rPr>
        <w:t>）的含量，</w:t>
      </w:r>
      <w:r>
        <w:rPr>
          <w:rFonts w:hint="eastAsia"/>
        </w:rPr>
        <w:t>%</w:t>
      </w:r>
      <w:r>
        <w:rPr>
          <w:rFonts w:hint="eastAsia"/>
        </w:rPr>
        <w:t>；</w:t>
      </w:r>
    </w:p>
    <w:p w:rsidR="00E87AEA" w:rsidRDefault="006A25F0">
      <w:pPr>
        <w:pStyle w:val="affd"/>
      </w:pPr>
      <w:r>
        <w:rPr>
          <w:rFonts w:hint="eastAsia"/>
          <w:i/>
        </w:rPr>
        <w:t>K</w:t>
      </w:r>
      <w:r>
        <w:rPr>
          <w:rFonts w:hint="eastAsia"/>
          <w:i/>
          <w:vertAlign w:val="subscript"/>
        </w:rPr>
        <w:t>1</w:t>
      </w:r>
      <w:r>
        <w:rPr>
          <w:rFonts w:hint="eastAsia"/>
        </w:rPr>
        <w:t>——保持肥试样淋溶液中钾（</w:t>
      </w:r>
      <w:r>
        <w:rPr>
          <w:rFonts w:hint="eastAsia"/>
        </w:rPr>
        <w:t>k</w:t>
      </w:r>
      <w:r>
        <w:rPr>
          <w:rFonts w:hint="eastAsia"/>
          <w:vertAlign w:val="subscript"/>
        </w:rPr>
        <w:t>2</w:t>
      </w:r>
      <w:r>
        <w:rPr>
          <w:rFonts w:hint="eastAsia"/>
        </w:rPr>
        <w:t>O</w:t>
      </w:r>
      <w:r>
        <w:rPr>
          <w:rFonts w:hint="eastAsia"/>
        </w:rPr>
        <w:t>）的含量，</w:t>
      </w:r>
      <w:r>
        <w:rPr>
          <w:rFonts w:hint="eastAsia"/>
        </w:rPr>
        <w:t>%</w:t>
      </w:r>
      <w:r>
        <w:rPr>
          <w:rFonts w:hint="eastAsia"/>
        </w:rPr>
        <w:t>；</w:t>
      </w:r>
    </w:p>
    <w:p w:rsidR="00E87AEA" w:rsidRDefault="006A25F0">
      <w:pPr>
        <w:pStyle w:val="affd"/>
      </w:pPr>
      <w:r>
        <w:rPr>
          <w:rFonts w:hint="eastAsia"/>
          <w:i/>
        </w:rPr>
        <w:t>N</w:t>
      </w:r>
      <w:r>
        <w:rPr>
          <w:rFonts w:hint="eastAsia"/>
        </w:rPr>
        <w:t>——称取的对照试样中全氮（</w:t>
      </w:r>
      <w:r>
        <w:rPr>
          <w:rFonts w:hint="eastAsia"/>
        </w:rPr>
        <w:t>N</w:t>
      </w:r>
      <w:r>
        <w:rPr>
          <w:rFonts w:hint="eastAsia"/>
        </w:rPr>
        <w:t>）的含量，</w:t>
      </w:r>
      <w:r>
        <w:rPr>
          <w:rFonts w:hint="eastAsia"/>
        </w:rPr>
        <w:t>%</w:t>
      </w:r>
      <w:r>
        <w:rPr>
          <w:rFonts w:hint="eastAsia"/>
        </w:rPr>
        <w:t>；</w:t>
      </w:r>
    </w:p>
    <w:p w:rsidR="00E87AEA" w:rsidRDefault="006A25F0">
      <w:pPr>
        <w:pStyle w:val="affd"/>
      </w:pPr>
      <w:r>
        <w:rPr>
          <w:rFonts w:hint="eastAsia"/>
          <w:i/>
        </w:rPr>
        <w:t>P</w:t>
      </w:r>
      <w:r>
        <w:rPr>
          <w:rFonts w:hint="eastAsia"/>
        </w:rPr>
        <w:t>——</w:t>
      </w:r>
      <w:r>
        <w:rPr>
          <w:rFonts w:hint="eastAsia"/>
        </w:rPr>
        <w:t>称取的对照试样中</w:t>
      </w:r>
      <w:r>
        <w:rPr>
          <w:rFonts w:ascii="Times New Roman" w:hint="eastAsia"/>
          <w:kern w:val="21"/>
        </w:rPr>
        <w:t>有效</w:t>
      </w:r>
      <w:r>
        <w:rPr>
          <w:rFonts w:hint="eastAsia"/>
        </w:rPr>
        <w:t>磷（</w:t>
      </w:r>
      <w:r>
        <w:rPr>
          <w:rFonts w:hint="eastAsia"/>
        </w:rPr>
        <w:t>P</w:t>
      </w:r>
      <w:r>
        <w:rPr>
          <w:rFonts w:hint="eastAsia"/>
          <w:vertAlign w:val="subscript"/>
        </w:rPr>
        <w:t>2</w:t>
      </w:r>
      <w:r>
        <w:rPr>
          <w:rFonts w:hint="eastAsia"/>
        </w:rPr>
        <w:t>O</w:t>
      </w:r>
      <w:r>
        <w:rPr>
          <w:rFonts w:hint="eastAsia"/>
          <w:vertAlign w:val="subscript"/>
        </w:rPr>
        <w:t>5</w:t>
      </w:r>
      <w:r>
        <w:rPr>
          <w:rFonts w:hint="eastAsia"/>
        </w:rPr>
        <w:t>）的含量，</w:t>
      </w:r>
      <w:r>
        <w:rPr>
          <w:rFonts w:hint="eastAsia"/>
        </w:rPr>
        <w:t>%</w:t>
      </w:r>
      <w:r>
        <w:rPr>
          <w:rFonts w:hint="eastAsia"/>
        </w:rPr>
        <w:t>。</w:t>
      </w:r>
    </w:p>
    <w:p w:rsidR="00E87AEA" w:rsidRDefault="006A25F0">
      <w:pPr>
        <w:pStyle w:val="affd"/>
      </w:pPr>
      <w:r>
        <w:rPr>
          <w:rFonts w:hint="eastAsia"/>
          <w:i/>
        </w:rPr>
        <w:t>K</w:t>
      </w:r>
      <w:r>
        <w:rPr>
          <w:rFonts w:hint="eastAsia"/>
        </w:rPr>
        <w:t>——称取的对照试样中钾（</w:t>
      </w:r>
      <w:r>
        <w:rPr>
          <w:rFonts w:hint="eastAsia"/>
        </w:rPr>
        <w:t>k</w:t>
      </w:r>
      <w:r>
        <w:rPr>
          <w:rFonts w:hint="eastAsia"/>
          <w:vertAlign w:val="subscript"/>
        </w:rPr>
        <w:t>2</w:t>
      </w:r>
      <w:r>
        <w:rPr>
          <w:rFonts w:hint="eastAsia"/>
        </w:rPr>
        <w:t>O</w:t>
      </w:r>
      <w:r>
        <w:rPr>
          <w:rFonts w:hint="eastAsia"/>
        </w:rPr>
        <w:t>）的含量，</w:t>
      </w:r>
      <w:r>
        <w:rPr>
          <w:rFonts w:hint="eastAsia"/>
        </w:rPr>
        <w:t>%</w:t>
      </w:r>
      <w:r>
        <w:rPr>
          <w:rFonts w:hint="eastAsia"/>
        </w:rPr>
        <w:t>；</w:t>
      </w:r>
    </w:p>
    <w:p w:rsidR="00E87AEA" w:rsidRDefault="006A25F0">
      <w:pPr>
        <w:pStyle w:val="affd"/>
      </w:pPr>
      <w:r>
        <w:rPr>
          <w:rFonts w:hint="eastAsia"/>
        </w:rPr>
        <w:t>计算结果表示到小数点后两位。</w:t>
      </w:r>
    </w:p>
    <w:p w:rsidR="00E87AEA" w:rsidRDefault="006A25F0">
      <w:pPr>
        <w:widowControl/>
        <w:tabs>
          <w:tab w:val="center" w:pos="4201"/>
          <w:tab w:val="right" w:leader="dot" w:pos="9298"/>
        </w:tabs>
        <w:autoSpaceDE w:val="0"/>
        <w:autoSpaceDN w:val="0"/>
        <w:spacing w:before="156" w:after="156"/>
        <w:rPr>
          <w:rFonts w:ascii="黑体" w:eastAsia="黑体"/>
          <w:kern w:val="21"/>
        </w:rPr>
      </w:pPr>
      <w:r>
        <w:rPr>
          <w:rFonts w:ascii="黑体" w:eastAsia="黑体" w:hint="eastAsia"/>
          <w:kern w:val="21"/>
        </w:rPr>
        <w:t xml:space="preserve">A.5.2 </w:t>
      </w:r>
      <w:r>
        <w:rPr>
          <w:rFonts w:ascii="黑体" w:eastAsia="黑体" w:hint="eastAsia"/>
          <w:kern w:val="21"/>
        </w:rPr>
        <w:t>保持性磷酸二铵养分保持率计算</w:t>
      </w:r>
    </w:p>
    <w:p w:rsidR="00E87AEA" w:rsidRDefault="006A25F0">
      <w:pPr>
        <w:widowControl/>
        <w:tabs>
          <w:tab w:val="center" w:pos="4201"/>
          <w:tab w:val="right" w:leader="dot" w:pos="9298"/>
        </w:tabs>
        <w:autoSpaceDE w:val="0"/>
        <w:autoSpaceDN w:val="0"/>
        <w:spacing w:before="156" w:after="156"/>
        <w:ind w:firstLineChars="200" w:firstLine="420"/>
        <w:rPr>
          <w:rFonts w:ascii="宋体"/>
          <w:kern w:val="0"/>
        </w:rPr>
      </w:pPr>
      <w:r>
        <w:rPr>
          <w:rFonts w:ascii="宋体" w:hint="eastAsia"/>
          <w:kern w:val="0"/>
        </w:rPr>
        <w:t>养分保持率</w:t>
      </w:r>
      <w:r>
        <w:rPr>
          <w:rFonts w:ascii="宋体" w:hint="eastAsia"/>
          <w:kern w:val="0"/>
        </w:rPr>
        <w:t>X</w:t>
      </w:r>
      <w:r>
        <w:rPr>
          <w:rFonts w:ascii="宋体" w:hint="eastAsia"/>
          <w:kern w:val="0"/>
        </w:rPr>
        <w:t>（</w:t>
      </w:r>
      <w:r>
        <w:rPr>
          <w:rFonts w:ascii="宋体" w:hint="eastAsia"/>
          <w:kern w:val="0"/>
        </w:rPr>
        <w:t>%</w:t>
      </w:r>
      <w:r>
        <w:rPr>
          <w:rFonts w:ascii="宋体" w:hint="eastAsia"/>
          <w:kern w:val="0"/>
        </w:rPr>
        <w:t>）按式（</w:t>
      </w:r>
      <w:r>
        <w:rPr>
          <w:rFonts w:hint="eastAsia"/>
        </w:rPr>
        <w:t>A.2</w:t>
      </w:r>
      <w:r>
        <w:rPr>
          <w:rFonts w:ascii="宋体" w:hint="eastAsia"/>
          <w:kern w:val="0"/>
        </w:rPr>
        <w:t>）计算：</w:t>
      </w:r>
    </w:p>
    <w:p w:rsidR="00E87AEA" w:rsidRDefault="006A25F0">
      <w:pPr>
        <w:widowControl/>
        <w:tabs>
          <w:tab w:val="center" w:pos="4201"/>
          <w:tab w:val="right" w:leader="dot" w:pos="9298"/>
        </w:tabs>
        <w:autoSpaceDE w:val="0"/>
        <w:autoSpaceDN w:val="0"/>
        <w:spacing w:before="156" w:after="156"/>
        <w:rPr>
          <w:rFonts w:ascii="宋体"/>
          <w:kern w:val="0"/>
        </w:rPr>
      </w:pPr>
      <w:r>
        <w:rPr>
          <w:rFonts w:ascii="宋体"/>
          <w:kern w:val="0"/>
        </w:rPr>
        <w:tab/>
      </w:r>
      <w:r>
        <w:rPr>
          <w:rFonts w:hint="eastAsia"/>
          <w:position w:val="-30"/>
        </w:rPr>
        <w:object w:dxaOrig="3195" w:dyaOrig="675">
          <v:shape id="_x0000_i1029" type="#_x0000_t75" style="width:159.75pt;height:33.75pt" o:ole="">
            <v:imagedata r:id="rId18" o:title=""/>
          </v:shape>
          <o:OLEObject Type="Embed" ProgID="Equation.3" ShapeID="_x0000_i1029" DrawAspect="Content" ObjectID="_1565430032" r:id="rId19"/>
        </w:object>
      </w:r>
      <w:r>
        <w:rPr>
          <w:rFonts w:ascii="宋体"/>
          <w:kern w:val="0"/>
        </w:rPr>
        <w:tab/>
        <w:t>(</w:t>
      </w:r>
      <w:r>
        <w:rPr>
          <w:rFonts w:hint="eastAsia"/>
        </w:rPr>
        <w:t>A.2</w:t>
      </w:r>
      <w:r>
        <w:rPr>
          <w:rFonts w:ascii="宋体"/>
          <w:kern w:val="0"/>
        </w:rPr>
        <w:t>)</w:t>
      </w:r>
    </w:p>
    <w:p w:rsidR="00E87AEA" w:rsidRDefault="006A25F0">
      <w:pPr>
        <w:pStyle w:val="affd"/>
      </w:pPr>
      <w:r>
        <w:rPr>
          <w:rFonts w:hint="eastAsia"/>
        </w:rPr>
        <w:t>式中：</w:t>
      </w:r>
    </w:p>
    <w:p w:rsidR="00E87AEA" w:rsidRDefault="006A25F0">
      <w:pPr>
        <w:pStyle w:val="affd"/>
      </w:pPr>
      <w:r>
        <w:rPr>
          <w:rFonts w:hint="eastAsia"/>
          <w:i/>
        </w:rPr>
        <w:t>N</w:t>
      </w:r>
      <w:r>
        <w:rPr>
          <w:rFonts w:hint="eastAsia"/>
          <w:i/>
          <w:vertAlign w:val="subscript"/>
        </w:rPr>
        <w:t>CK</w:t>
      </w:r>
      <w:r>
        <w:rPr>
          <w:rFonts w:hint="eastAsia"/>
        </w:rPr>
        <w:t>——对照试样淋溶液中全氮（</w:t>
      </w:r>
      <w:r>
        <w:rPr>
          <w:rFonts w:hint="eastAsia"/>
        </w:rPr>
        <w:t>N</w:t>
      </w:r>
      <w:r>
        <w:rPr>
          <w:rFonts w:hint="eastAsia"/>
        </w:rPr>
        <w:t>）的含量，</w:t>
      </w:r>
      <w:r>
        <w:rPr>
          <w:rFonts w:hint="eastAsia"/>
        </w:rPr>
        <w:t>%</w:t>
      </w:r>
      <w:r>
        <w:rPr>
          <w:rFonts w:hint="eastAsia"/>
        </w:rPr>
        <w:t>；</w:t>
      </w:r>
    </w:p>
    <w:p w:rsidR="00E87AEA" w:rsidRDefault="006A25F0">
      <w:pPr>
        <w:pStyle w:val="affd"/>
      </w:pPr>
      <w:r>
        <w:rPr>
          <w:rFonts w:hint="eastAsia"/>
          <w:i/>
        </w:rPr>
        <w:t>P</w:t>
      </w:r>
      <w:r>
        <w:rPr>
          <w:rFonts w:hint="eastAsia"/>
          <w:i/>
          <w:vertAlign w:val="subscript"/>
        </w:rPr>
        <w:t>CK</w:t>
      </w:r>
      <w:r>
        <w:rPr>
          <w:rFonts w:hint="eastAsia"/>
        </w:rPr>
        <w:t>——对照试样淋溶液中</w:t>
      </w:r>
      <w:r>
        <w:rPr>
          <w:rFonts w:ascii="Times New Roman" w:hint="eastAsia"/>
          <w:kern w:val="21"/>
        </w:rPr>
        <w:t>有效</w:t>
      </w:r>
      <w:r>
        <w:rPr>
          <w:rFonts w:hint="eastAsia"/>
        </w:rPr>
        <w:t>磷（</w:t>
      </w:r>
      <w:r>
        <w:rPr>
          <w:rFonts w:hint="eastAsia"/>
        </w:rPr>
        <w:t>P</w:t>
      </w:r>
      <w:r>
        <w:rPr>
          <w:rFonts w:hint="eastAsia"/>
          <w:vertAlign w:val="subscript"/>
        </w:rPr>
        <w:t>2</w:t>
      </w:r>
      <w:r>
        <w:rPr>
          <w:rFonts w:hint="eastAsia"/>
        </w:rPr>
        <w:t>O</w:t>
      </w:r>
      <w:r>
        <w:rPr>
          <w:rFonts w:hint="eastAsia"/>
          <w:vertAlign w:val="subscript"/>
        </w:rPr>
        <w:t>5</w:t>
      </w:r>
      <w:r>
        <w:rPr>
          <w:rFonts w:hint="eastAsia"/>
        </w:rPr>
        <w:t>）的含量，</w:t>
      </w:r>
      <w:r>
        <w:rPr>
          <w:rFonts w:hint="eastAsia"/>
        </w:rPr>
        <w:t>%</w:t>
      </w:r>
      <w:r>
        <w:rPr>
          <w:rFonts w:hint="eastAsia"/>
        </w:rPr>
        <w:t>；</w:t>
      </w:r>
    </w:p>
    <w:p w:rsidR="00E87AEA" w:rsidRDefault="006A25F0">
      <w:pPr>
        <w:pStyle w:val="affd"/>
      </w:pPr>
      <w:r>
        <w:rPr>
          <w:rFonts w:hint="eastAsia"/>
          <w:i/>
        </w:rPr>
        <w:t>N</w:t>
      </w:r>
      <w:r>
        <w:rPr>
          <w:rFonts w:hint="eastAsia"/>
          <w:i/>
          <w:vertAlign w:val="subscript"/>
        </w:rPr>
        <w:t>1</w:t>
      </w:r>
      <w:r>
        <w:rPr>
          <w:rFonts w:hint="eastAsia"/>
        </w:rPr>
        <w:t>——保持二铵试样淋溶液中全氮（</w:t>
      </w:r>
      <w:r>
        <w:rPr>
          <w:rFonts w:hint="eastAsia"/>
        </w:rPr>
        <w:t>N</w:t>
      </w:r>
      <w:r>
        <w:rPr>
          <w:rFonts w:hint="eastAsia"/>
        </w:rPr>
        <w:t>）的含量，</w:t>
      </w:r>
      <w:r>
        <w:rPr>
          <w:rFonts w:hint="eastAsia"/>
        </w:rPr>
        <w:t>%</w:t>
      </w:r>
      <w:r>
        <w:rPr>
          <w:rFonts w:hint="eastAsia"/>
        </w:rPr>
        <w:t>；</w:t>
      </w:r>
    </w:p>
    <w:p w:rsidR="00E87AEA" w:rsidRDefault="006A25F0">
      <w:pPr>
        <w:pStyle w:val="affd"/>
      </w:pPr>
      <w:r>
        <w:rPr>
          <w:rFonts w:hint="eastAsia"/>
          <w:i/>
        </w:rPr>
        <w:t>P</w:t>
      </w:r>
      <w:r>
        <w:rPr>
          <w:rFonts w:hint="eastAsia"/>
          <w:i/>
          <w:vertAlign w:val="subscript"/>
        </w:rPr>
        <w:t>1</w:t>
      </w:r>
      <w:r>
        <w:rPr>
          <w:rFonts w:hint="eastAsia"/>
        </w:rPr>
        <w:t>——保持二铵试样淋溶液中</w:t>
      </w:r>
      <w:r>
        <w:rPr>
          <w:rFonts w:ascii="Times New Roman" w:hint="eastAsia"/>
          <w:kern w:val="21"/>
        </w:rPr>
        <w:t>有效</w:t>
      </w:r>
      <w:r>
        <w:rPr>
          <w:rFonts w:hint="eastAsia"/>
        </w:rPr>
        <w:t>磷（</w:t>
      </w:r>
      <w:r>
        <w:rPr>
          <w:rFonts w:hint="eastAsia"/>
        </w:rPr>
        <w:t>P</w:t>
      </w:r>
      <w:r>
        <w:rPr>
          <w:rFonts w:hint="eastAsia"/>
          <w:vertAlign w:val="subscript"/>
        </w:rPr>
        <w:t>2</w:t>
      </w:r>
      <w:r>
        <w:rPr>
          <w:rFonts w:hint="eastAsia"/>
        </w:rPr>
        <w:t>O</w:t>
      </w:r>
      <w:r>
        <w:rPr>
          <w:rFonts w:hint="eastAsia"/>
          <w:vertAlign w:val="subscript"/>
        </w:rPr>
        <w:t>5</w:t>
      </w:r>
      <w:r>
        <w:rPr>
          <w:rFonts w:hint="eastAsia"/>
        </w:rPr>
        <w:t>）的含量，</w:t>
      </w:r>
      <w:r>
        <w:rPr>
          <w:rFonts w:hint="eastAsia"/>
        </w:rPr>
        <w:t>%</w:t>
      </w:r>
      <w:r>
        <w:rPr>
          <w:rFonts w:hint="eastAsia"/>
        </w:rPr>
        <w:t>；</w:t>
      </w:r>
    </w:p>
    <w:p w:rsidR="00E87AEA" w:rsidRDefault="006A25F0">
      <w:pPr>
        <w:pStyle w:val="affd"/>
      </w:pPr>
      <w:r>
        <w:rPr>
          <w:rFonts w:hint="eastAsia"/>
          <w:i/>
        </w:rPr>
        <w:t>N</w:t>
      </w:r>
      <w:r>
        <w:rPr>
          <w:rFonts w:hint="eastAsia"/>
        </w:rPr>
        <w:t>——称取的对照试样中全氮（</w:t>
      </w:r>
      <w:r>
        <w:rPr>
          <w:rFonts w:hint="eastAsia"/>
        </w:rPr>
        <w:t>N</w:t>
      </w:r>
      <w:r>
        <w:rPr>
          <w:rFonts w:hint="eastAsia"/>
        </w:rPr>
        <w:t>）的含量，</w:t>
      </w:r>
      <w:r>
        <w:rPr>
          <w:rFonts w:hint="eastAsia"/>
        </w:rPr>
        <w:t>%</w:t>
      </w:r>
      <w:r>
        <w:rPr>
          <w:rFonts w:hint="eastAsia"/>
        </w:rPr>
        <w:t>；</w:t>
      </w:r>
    </w:p>
    <w:p w:rsidR="00E87AEA" w:rsidRDefault="006A25F0">
      <w:pPr>
        <w:pStyle w:val="affd"/>
      </w:pPr>
      <w:r>
        <w:rPr>
          <w:rFonts w:hint="eastAsia"/>
          <w:i/>
        </w:rPr>
        <w:t>P</w:t>
      </w:r>
      <w:r>
        <w:rPr>
          <w:rFonts w:hint="eastAsia"/>
        </w:rPr>
        <w:t>——称取的对照试样中</w:t>
      </w:r>
      <w:r>
        <w:rPr>
          <w:rFonts w:ascii="Times New Roman" w:hint="eastAsia"/>
          <w:kern w:val="21"/>
        </w:rPr>
        <w:t>有效</w:t>
      </w:r>
      <w:r>
        <w:rPr>
          <w:rFonts w:hint="eastAsia"/>
        </w:rPr>
        <w:t>磷（</w:t>
      </w:r>
      <w:r>
        <w:rPr>
          <w:rFonts w:hint="eastAsia"/>
        </w:rPr>
        <w:t>P</w:t>
      </w:r>
      <w:r>
        <w:rPr>
          <w:rFonts w:hint="eastAsia"/>
          <w:vertAlign w:val="subscript"/>
        </w:rPr>
        <w:t>2</w:t>
      </w:r>
      <w:r>
        <w:rPr>
          <w:rFonts w:hint="eastAsia"/>
        </w:rPr>
        <w:t>O</w:t>
      </w:r>
      <w:r>
        <w:rPr>
          <w:rFonts w:hint="eastAsia"/>
          <w:vertAlign w:val="subscript"/>
        </w:rPr>
        <w:t>5</w:t>
      </w:r>
      <w:r>
        <w:rPr>
          <w:rFonts w:hint="eastAsia"/>
        </w:rPr>
        <w:t>）的含量，</w:t>
      </w:r>
      <w:r>
        <w:rPr>
          <w:rFonts w:hint="eastAsia"/>
        </w:rPr>
        <w:t>%</w:t>
      </w:r>
      <w:r>
        <w:rPr>
          <w:rFonts w:hint="eastAsia"/>
        </w:rPr>
        <w:t>。</w:t>
      </w:r>
    </w:p>
    <w:p w:rsidR="00E87AEA" w:rsidRDefault="006A25F0">
      <w:pPr>
        <w:pStyle w:val="affd"/>
      </w:pPr>
      <w:r>
        <w:rPr>
          <w:rFonts w:hint="eastAsia"/>
        </w:rPr>
        <w:t>计算结果表示到小数点后两位。</w:t>
      </w:r>
    </w:p>
    <w:p w:rsidR="00E87AEA" w:rsidRDefault="006A25F0">
      <w:pPr>
        <w:widowControl/>
        <w:tabs>
          <w:tab w:val="center" w:pos="4201"/>
          <w:tab w:val="right" w:leader="dot" w:pos="9298"/>
        </w:tabs>
        <w:autoSpaceDE w:val="0"/>
        <w:autoSpaceDN w:val="0"/>
        <w:spacing w:before="156" w:after="156"/>
        <w:rPr>
          <w:rFonts w:ascii="黑体" w:eastAsia="黑体" w:hAnsi="宋体" w:cs="黑体"/>
          <w:kern w:val="0"/>
          <w:szCs w:val="21"/>
        </w:rPr>
      </w:pPr>
      <w:r>
        <w:rPr>
          <w:rFonts w:ascii="黑体" w:eastAsia="黑体" w:hAnsi="宋体" w:cs="黑体" w:hint="eastAsia"/>
          <w:kern w:val="0"/>
          <w:szCs w:val="21"/>
        </w:rPr>
        <w:t xml:space="preserve">A.5.3 </w:t>
      </w:r>
      <w:r>
        <w:rPr>
          <w:rFonts w:ascii="黑体" w:eastAsia="黑体" w:hAnsi="宋体" w:cs="黑体" w:hint="eastAsia"/>
          <w:kern w:val="0"/>
          <w:szCs w:val="21"/>
        </w:rPr>
        <w:t>允许差</w:t>
      </w:r>
    </w:p>
    <w:p w:rsidR="00E87AEA" w:rsidRDefault="006A25F0">
      <w:pPr>
        <w:widowControl/>
        <w:tabs>
          <w:tab w:val="center" w:pos="4201"/>
          <w:tab w:val="right" w:leader="dot" w:pos="9298"/>
        </w:tabs>
        <w:autoSpaceDE w:val="0"/>
        <w:autoSpaceDN w:val="0"/>
        <w:spacing w:line="360" w:lineRule="auto"/>
        <w:ind w:firstLineChars="200" w:firstLine="420"/>
        <w:rPr>
          <w:rFonts w:cs="宋体"/>
          <w:kern w:val="0"/>
          <w:szCs w:val="21"/>
        </w:rPr>
      </w:pPr>
      <w:r>
        <w:rPr>
          <w:rFonts w:cs="宋体" w:hint="eastAsia"/>
          <w:kern w:val="0"/>
          <w:szCs w:val="21"/>
        </w:rPr>
        <w:t>平行测定结果之间相对偏差不大于</w:t>
      </w:r>
      <w:r>
        <w:rPr>
          <w:rFonts w:cs="宋体" w:hint="eastAsia"/>
          <w:kern w:val="0"/>
          <w:szCs w:val="21"/>
        </w:rPr>
        <w:t>20</w:t>
      </w:r>
      <w:r>
        <w:rPr>
          <w:kern w:val="0"/>
          <w:szCs w:val="21"/>
        </w:rPr>
        <w:t>.0 %</w:t>
      </w:r>
      <w:r>
        <w:rPr>
          <w:rFonts w:cs="宋体" w:hint="eastAsia"/>
          <w:kern w:val="0"/>
          <w:szCs w:val="21"/>
        </w:rPr>
        <w:t>。</w:t>
      </w:r>
    </w:p>
    <w:p w:rsidR="00E87AEA" w:rsidRDefault="00E87AEA">
      <w:pPr>
        <w:pStyle w:val="aa"/>
      </w:pPr>
    </w:p>
    <w:p w:rsidR="00E87AEA" w:rsidRDefault="00E87AEA">
      <w:pPr>
        <w:pStyle w:val="af5"/>
      </w:pPr>
    </w:p>
    <w:p w:rsidR="00E87AEA" w:rsidRDefault="006A25F0">
      <w:pPr>
        <w:pStyle w:val="af8"/>
      </w:pPr>
      <w:r>
        <w:br/>
      </w:r>
      <w:bookmarkStart w:id="32" w:name="_Toc491250101"/>
      <w:r>
        <w:rPr>
          <w:rFonts w:hint="eastAsia"/>
        </w:rPr>
        <w:t>（规范性附录）</w:t>
      </w:r>
      <w:r>
        <w:br/>
      </w:r>
      <w:r>
        <w:rPr>
          <w:rFonts w:hint="eastAsia"/>
        </w:rPr>
        <w:t>氨挥发减少率的测定</w:t>
      </w:r>
      <w:bookmarkEnd w:id="32"/>
    </w:p>
    <w:p w:rsidR="00E87AEA" w:rsidRDefault="006A25F0">
      <w:pPr>
        <w:pStyle w:val="af9"/>
        <w:spacing w:before="312" w:after="312"/>
      </w:pPr>
      <w:r>
        <w:rPr>
          <w:rFonts w:hint="eastAsia"/>
        </w:rPr>
        <w:t>范围</w:t>
      </w:r>
    </w:p>
    <w:p w:rsidR="00E87AEA" w:rsidRDefault="006A25F0">
      <w:pPr>
        <w:pStyle w:val="affd"/>
        <w:rPr>
          <w:color w:val="000000"/>
          <w:szCs w:val="21"/>
        </w:rPr>
      </w:pPr>
      <w:r>
        <w:rPr>
          <w:rFonts w:hint="eastAsia"/>
        </w:rPr>
        <w:t>本方法适用于保持性尿素、保持性复混（合）肥料、保持性掺混肥料氨挥发减少率的测定</w:t>
      </w:r>
      <w:r>
        <w:rPr>
          <w:rFonts w:hint="eastAsia"/>
          <w:color w:val="000000"/>
          <w:szCs w:val="21"/>
        </w:rPr>
        <w:t>。</w:t>
      </w:r>
    </w:p>
    <w:p w:rsidR="00E87AEA" w:rsidRDefault="006A25F0">
      <w:pPr>
        <w:pStyle w:val="af9"/>
        <w:spacing w:before="312" w:after="312"/>
      </w:pPr>
      <w:r>
        <w:rPr>
          <w:rFonts w:hint="eastAsia"/>
        </w:rPr>
        <w:t>方法提要</w:t>
      </w:r>
    </w:p>
    <w:p w:rsidR="00E87AEA" w:rsidRDefault="006A25F0">
      <w:pPr>
        <w:pStyle w:val="affd"/>
      </w:pPr>
      <w:r>
        <w:rPr>
          <w:rFonts w:hint="eastAsia"/>
        </w:rPr>
        <w:t>将等量保持性肥料与对照肥料在相同条件下进行氨挥发培养，分别测定培养前后全氮含量，两者之间差值即为氨挥发量。实验测得保持性肥料与对照肥料的氨挥发量，通过公式计算即得氨挥发减少率。</w:t>
      </w:r>
    </w:p>
    <w:p w:rsidR="00E87AEA" w:rsidRDefault="006A25F0">
      <w:pPr>
        <w:pStyle w:val="af9"/>
        <w:spacing w:before="312" w:after="312"/>
      </w:pPr>
      <w:r>
        <w:rPr>
          <w:rFonts w:hint="eastAsia"/>
        </w:rPr>
        <w:t>实验仪器和材料</w:t>
      </w:r>
    </w:p>
    <w:p w:rsidR="00E87AEA" w:rsidRDefault="006A25F0">
      <w:pPr>
        <w:pStyle w:val="afffff4"/>
      </w:pPr>
      <w:r>
        <w:rPr>
          <w:rFonts w:hint="eastAsia"/>
        </w:rPr>
        <w:t>通常实验室用仪器；</w:t>
      </w:r>
    </w:p>
    <w:p w:rsidR="00E87AEA" w:rsidRDefault="006A25F0">
      <w:pPr>
        <w:pStyle w:val="afffff4"/>
      </w:pPr>
      <w:r>
        <w:rPr>
          <w:rFonts w:hint="eastAsia"/>
        </w:rPr>
        <w:t>定氮蒸馏装置；</w:t>
      </w:r>
    </w:p>
    <w:p w:rsidR="00E87AEA" w:rsidRDefault="006A25F0">
      <w:pPr>
        <w:pStyle w:val="afffff4"/>
      </w:pPr>
      <w:r>
        <w:rPr>
          <w:rFonts w:hint="eastAsia"/>
        </w:rPr>
        <w:t>恒温培养振荡器（转数≥</w:t>
      </w:r>
      <w:r>
        <w:rPr>
          <w:rFonts w:hint="eastAsia"/>
        </w:rPr>
        <w:t>120r/min</w:t>
      </w:r>
      <w:r>
        <w:rPr>
          <w:rFonts w:hint="eastAsia"/>
        </w:rPr>
        <w:t>）；</w:t>
      </w:r>
    </w:p>
    <w:p w:rsidR="00E87AEA" w:rsidRDefault="006A25F0">
      <w:pPr>
        <w:pStyle w:val="afffff4"/>
      </w:pPr>
      <w:r>
        <w:rPr>
          <w:rFonts w:hint="eastAsia"/>
        </w:rPr>
        <w:t>冰箱。</w:t>
      </w:r>
    </w:p>
    <w:p w:rsidR="00E87AEA" w:rsidRDefault="006A25F0">
      <w:pPr>
        <w:pStyle w:val="afffff4"/>
      </w:pPr>
      <w:r>
        <w:rPr>
          <w:rFonts w:hint="eastAsia"/>
        </w:rPr>
        <w:t>试剂</w:t>
      </w:r>
    </w:p>
    <w:p w:rsidR="00E87AEA" w:rsidRDefault="006A25F0">
      <w:pPr>
        <w:pStyle w:val="affffe"/>
      </w:pPr>
      <w:r>
        <w:rPr>
          <w:rFonts w:hint="eastAsia"/>
        </w:rPr>
        <w:t>脲酶：巨豆酶，活性为</w:t>
      </w:r>
      <w:r>
        <w:t>58</w:t>
      </w:r>
      <w:r>
        <w:rPr>
          <w:rFonts w:hint="eastAsia"/>
        </w:rPr>
        <w:t xml:space="preserve"> U/mg</w:t>
      </w:r>
      <w:r>
        <w:rPr>
          <w:rFonts w:hint="eastAsia"/>
        </w:rPr>
        <w:t>。</w:t>
      </w:r>
    </w:p>
    <w:p w:rsidR="00E87AEA" w:rsidRDefault="006A25F0">
      <w:pPr>
        <w:pStyle w:val="affffe"/>
      </w:pPr>
      <w:r>
        <w:rPr>
          <w:rFonts w:hint="eastAsia"/>
        </w:rPr>
        <w:t>缓冲液：</w:t>
      </w:r>
      <w:r>
        <w:t>称取</w:t>
      </w:r>
      <w:r>
        <w:t>124.65 g</w:t>
      </w:r>
      <w:r>
        <w:t>磷酸氢二钠</w:t>
      </w:r>
      <w:r>
        <w:rPr>
          <w:rFonts w:hint="eastAsia"/>
        </w:rPr>
        <w:t>（十二</w:t>
      </w:r>
      <w:r>
        <w:t>水）和</w:t>
      </w:r>
      <w:r>
        <w:t>8.11 g</w:t>
      </w:r>
      <w:r>
        <w:t>磷酸二氢</w:t>
      </w:r>
      <w:r>
        <w:rPr>
          <w:rFonts w:hint="eastAsia"/>
        </w:rPr>
        <w:t>钠（二水</w:t>
      </w:r>
      <w:r>
        <w:t>）溶解于</w:t>
      </w:r>
      <w:r>
        <w:t>800 mL</w:t>
      </w:r>
      <w:r>
        <w:t>水中，定容至</w:t>
      </w:r>
      <w:r>
        <w:t>2 L</w:t>
      </w:r>
      <w:r>
        <w:t>。</w:t>
      </w:r>
    </w:p>
    <w:p w:rsidR="00E87AEA" w:rsidRDefault="006A25F0">
      <w:pPr>
        <w:pStyle w:val="affffe"/>
      </w:pPr>
      <w:r>
        <w:rPr>
          <w:rFonts w:hint="eastAsia"/>
        </w:rPr>
        <w:t>脲酶溶液</w:t>
      </w:r>
      <w:r>
        <w:rPr>
          <w:rFonts w:hint="eastAsia"/>
        </w:rPr>
        <w:t xml:space="preserve"> </w:t>
      </w:r>
      <w:r>
        <w:t>ρ</w:t>
      </w:r>
      <w:r>
        <w:rPr>
          <w:rFonts w:hint="eastAsia"/>
        </w:rPr>
        <w:t>=0.1g/L</w:t>
      </w:r>
      <w:r>
        <w:rPr>
          <w:rFonts w:hint="eastAsia"/>
        </w:rPr>
        <w:t>：称取</w:t>
      </w:r>
      <w:r>
        <w:rPr>
          <w:rFonts w:hint="eastAsia"/>
        </w:rPr>
        <w:t>0.1000g</w:t>
      </w:r>
      <w:r>
        <w:rPr>
          <w:rFonts w:hint="eastAsia"/>
        </w:rPr>
        <w:t>活性为</w:t>
      </w:r>
      <w:r>
        <w:t>58</w:t>
      </w:r>
      <w:r>
        <w:rPr>
          <w:rFonts w:hint="eastAsia"/>
        </w:rPr>
        <w:t xml:space="preserve"> U/mg</w:t>
      </w:r>
      <w:r>
        <w:rPr>
          <w:rFonts w:hint="eastAsia"/>
        </w:rPr>
        <w:t>的脲酶干粉，溶解于缓冲液中，用缓冲液定容至</w:t>
      </w:r>
      <w:r>
        <w:rPr>
          <w:rFonts w:hint="eastAsia"/>
        </w:rPr>
        <w:t>1000 mL</w:t>
      </w:r>
      <w:r>
        <w:rPr>
          <w:rFonts w:hint="eastAsia"/>
        </w:rPr>
        <w:t>，现用现配。</w:t>
      </w:r>
    </w:p>
    <w:p w:rsidR="00E87AEA" w:rsidRDefault="006A25F0">
      <w:pPr>
        <w:pStyle w:val="affffe"/>
      </w:pPr>
      <w:r>
        <w:rPr>
          <w:rFonts w:hint="eastAsia"/>
        </w:rPr>
        <w:t>对照普通肥料：配制方法见附录</w:t>
      </w:r>
      <w:r>
        <w:rPr>
          <w:rFonts w:hint="eastAsia"/>
        </w:rPr>
        <w:t>C</w:t>
      </w:r>
      <w:r>
        <w:rPr>
          <w:rFonts w:hint="eastAsia"/>
        </w:rPr>
        <w:t>，粉碎，过</w:t>
      </w:r>
      <w:r>
        <w:rPr>
          <w:rFonts w:hint="eastAsia"/>
        </w:rPr>
        <w:t>0.25mm</w:t>
      </w:r>
      <w:r>
        <w:rPr>
          <w:rFonts w:hint="eastAsia"/>
        </w:rPr>
        <w:t>筛。</w:t>
      </w:r>
    </w:p>
    <w:p w:rsidR="00E87AEA" w:rsidRDefault="006A25F0">
      <w:pPr>
        <w:pStyle w:val="affffe"/>
      </w:pPr>
      <w:r>
        <w:t>全氮测定按</w:t>
      </w:r>
      <w:r>
        <w:rPr>
          <w:rFonts w:hint="eastAsia"/>
        </w:rPr>
        <w:t xml:space="preserve"> </w:t>
      </w:r>
      <w:r>
        <w:t>G</w:t>
      </w:r>
      <w:r>
        <w:rPr>
          <w:rFonts w:hint="eastAsia"/>
        </w:rPr>
        <w:t>B</w:t>
      </w:r>
      <w:r>
        <w:t>/T 8572</w:t>
      </w:r>
      <w:r>
        <w:rPr>
          <w:rFonts w:hint="eastAsia"/>
        </w:rPr>
        <w:t xml:space="preserve"> </w:t>
      </w:r>
      <w:r>
        <w:rPr>
          <w:rFonts w:hint="eastAsia"/>
        </w:rPr>
        <w:t>的规定</w:t>
      </w:r>
      <w:r>
        <w:t>进行。</w:t>
      </w:r>
    </w:p>
    <w:p w:rsidR="00E87AEA" w:rsidRDefault="006A25F0">
      <w:pPr>
        <w:pStyle w:val="af9"/>
        <w:spacing w:before="312" w:after="312"/>
      </w:pPr>
      <w:r>
        <w:rPr>
          <w:rFonts w:hint="eastAsia"/>
        </w:rPr>
        <w:t>方法</w:t>
      </w:r>
      <w:r>
        <w:rPr>
          <w:rFonts w:hint="eastAsia"/>
        </w:rPr>
        <w:t>步骤</w:t>
      </w:r>
    </w:p>
    <w:p w:rsidR="00E87AEA" w:rsidRDefault="006A25F0">
      <w:pPr>
        <w:pStyle w:val="afa"/>
        <w:spacing w:before="156" w:after="156"/>
      </w:pPr>
      <w:r>
        <w:rPr>
          <w:rFonts w:hint="eastAsia"/>
        </w:rPr>
        <w:t>氨挥发培养</w:t>
      </w:r>
    </w:p>
    <w:p w:rsidR="00E87AEA" w:rsidRDefault="006A25F0">
      <w:pPr>
        <w:pStyle w:val="afb"/>
        <w:spacing w:before="156" w:after="156"/>
      </w:pPr>
      <w:r>
        <w:rPr>
          <w:rFonts w:hint="eastAsia"/>
        </w:rPr>
        <w:t>保持性尿素</w:t>
      </w:r>
    </w:p>
    <w:p w:rsidR="00E87AEA" w:rsidRDefault="006A25F0">
      <w:pPr>
        <w:pStyle w:val="afc"/>
        <w:spacing w:before="156" w:after="156"/>
        <w:ind w:left="0"/>
      </w:pPr>
      <w:r>
        <w:rPr>
          <w:rFonts w:hint="eastAsia"/>
        </w:rPr>
        <w:t>试样全氮含量测定</w:t>
      </w:r>
    </w:p>
    <w:p w:rsidR="00E87AEA" w:rsidRDefault="006A25F0">
      <w:pPr>
        <w:pStyle w:val="affd"/>
      </w:pPr>
      <w:r>
        <w:rPr>
          <w:rFonts w:hint="eastAsia"/>
        </w:rPr>
        <w:t>称取</w:t>
      </w:r>
      <w:r>
        <w:t>1.0g</w:t>
      </w:r>
      <w:r>
        <w:rPr>
          <w:rFonts w:hint="eastAsia"/>
        </w:rPr>
        <w:t>保持性尿素</w:t>
      </w:r>
      <w:r>
        <w:t xml:space="preserve">, </w:t>
      </w:r>
      <w:r>
        <w:rPr>
          <w:rFonts w:hint="eastAsia"/>
        </w:rPr>
        <w:t>同时称取等氮量对照尿素（分析纯），分别放入</w:t>
      </w:r>
      <w:r>
        <w:rPr>
          <w:rFonts w:hint="eastAsia"/>
        </w:rPr>
        <w:t>100</w:t>
      </w:r>
      <w:r>
        <w:t>mL</w:t>
      </w:r>
      <w:r>
        <w:rPr>
          <w:rFonts w:hint="eastAsia"/>
        </w:rPr>
        <w:t>容量瓶中，用蒸馏水定容，吸取</w:t>
      </w:r>
      <w:r>
        <w:t>20mL</w:t>
      </w:r>
      <w:r>
        <w:rPr>
          <w:rFonts w:hint="eastAsia"/>
        </w:rPr>
        <w:t>溶液，按</w:t>
      </w:r>
      <w:r>
        <w:rPr>
          <w:rFonts w:hint="eastAsia"/>
        </w:rPr>
        <w:t>B.3.5.5</w:t>
      </w:r>
      <w:r>
        <w:rPr>
          <w:rFonts w:hint="eastAsia"/>
        </w:rPr>
        <w:t>进行全氮含量测定。</w:t>
      </w:r>
    </w:p>
    <w:p w:rsidR="00E87AEA" w:rsidRDefault="006A25F0">
      <w:pPr>
        <w:pStyle w:val="afc"/>
        <w:spacing w:before="156" w:after="156"/>
        <w:ind w:left="0"/>
      </w:pPr>
      <w:r>
        <w:rPr>
          <w:rFonts w:hint="eastAsia"/>
        </w:rPr>
        <w:t>氨挥发培养后全氮含量测定</w:t>
      </w:r>
    </w:p>
    <w:p w:rsidR="00E87AEA" w:rsidRDefault="006A25F0">
      <w:pPr>
        <w:pStyle w:val="affd"/>
        <w:rPr>
          <w:rFonts w:ascii="黑体" w:eastAsia="黑体" w:hAnsi="宋体" w:cs="黑体"/>
        </w:rPr>
      </w:pPr>
      <w:r>
        <w:rPr>
          <w:rFonts w:hint="eastAsia"/>
        </w:rPr>
        <w:t>称取</w:t>
      </w:r>
      <w:r>
        <w:t>1.0g</w:t>
      </w:r>
      <w:r>
        <w:rPr>
          <w:rFonts w:hint="eastAsia"/>
        </w:rPr>
        <w:t>保持性尿素</w:t>
      </w:r>
      <w:r>
        <w:t xml:space="preserve">, </w:t>
      </w:r>
      <w:r>
        <w:rPr>
          <w:rFonts w:hint="eastAsia"/>
        </w:rPr>
        <w:t>同时称取等氮量对照尿素（分析纯），分别放入</w:t>
      </w:r>
      <w:r>
        <w:t>250mL</w:t>
      </w:r>
      <w:r>
        <w:rPr>
          <w:rFonts w:hint="eastAsia"/>
        </w:rPr>
        <w:t>三角烧瓶中，准确加入</w:t>
      </w:r>
      <w:r>
        <w:t>100mL 0.1g/L</w:t>
      </w:r>
      <w:r>
        <w:rPr>
          <w:rFonts w:hint="eastAsia"/>
        </w:rPr>
        <w:t>的脲酶溶液，在恒温震荡培养箱中于</w:t>
      </w:r>
      <w:r>
        <w:t>45</w:t>
      </w:r>
      <w:r>
        <w:t>℃</w:t>
      </w:r>
      <w:r>
        <w:t>下，</w:t>
      </w:r>
      <w:r>
        <w:t>120</w:t>
      </w:r>
      <w:r>
        <w:rPr>
          <w:rFonts w:hint="eastAsia"/>
        </w:rPr>
        <w:t>r</w:t>
      </w:r>
      <w:r>
        <w:t>/min</w:t>
      </w:r>
      <w:r>
        <w:rPr>
          <w:rFonts w:hint="eastAsia"/>
        </w:rPr>
        <w:t>保温震荡培养</w:t>
      </w:r>
      <w:r>
        <w:t>1h</w:t>
      </w:r>
      <w:r>
        <w:rPr>
          <w:rFonts w:hint="eastAsia"/>
        </w:rPr>
        <w:t>（如使用空气浴</w:t>
      </w:r>
      <w:r>
        <w:rPr>
          <w:rFonts w:hint="eastAsia"/>
        </w:rPr>
        <w:lastRenderedPageBreak/>
        <w:t>恒温震荡培养箱培养，应在放入试样达到规定温度半小时后计时），培养结束后，过滤，吸取</w:t>
      </w:r>
      <w:r>
        <w:t>20mL</w:t>
      </w:r>
      <w:r>
        <w:t>滤</w:t>
      </w:r>
      <w:r>
        <w:rPr>
          <w:rFonts w:hint="eastAsia"/>
        </w:rPr>
        <w:t>液，按</w:t>
      </w:r>
      <w:r>
        <w:rPr>
          <w:rFonts w:hint="eastAsia"/>
        </w:rPr>
        <w:t>B.3.5.5</w:t>
      </w:r>
      <w:r>
        <w:rPr>
          <w:rFonts w:hint="eastAsia"/>
        </w:rPr>
        <w:t>进行全氮含量测定。</w:t>
      </w:r>
    </w:p>
    <w:p w:rsidR="00E87AEA" w:rsidRDefault="006A25F0">
      <w:pPr>
        <w:pStyle w:val="afb"/>
        <w:spacing w:before="156" w:after="156"/>
      </w:pPr>
      <w:r>
        <w:rPr>
          <w:rFonts w:hint="eastAsia"/>
        </w:rPr>
        <w:t>保持性复混（合）肥料</w:t>
      </w:r>
    </w:p>
    <w:p w:rsidR="00E87AEA" w:rsidRDefault="006A25F0">
      <w:pPr>
        <w:pStyle w:val="afc"/>
        <w:spacing w:before="156" w:after="156"/>
        <w:ind w:left="0"/>
      </w:pPr>
      <w:r>
        <w:rPr>
          <w:rFonts w:hint="eastAsia"/>
        </w:rPr>
        <w:t>试样全氮含量测定</w:t>
      </w:r>
    </w:p>
    <w:p w:rsidR="00E87AEA" w:rsidRDefault="006A25F0">
      <w:pPr>
        <w:spacing w:beforeLines="50" w:before="156" w:afterLines="50" w:after="156"/>
        <w:outlineLvl w:val="4"/>
        <w:rPr>
          <w:szCs w:val="21"/>
        </w:rPr>
      </w:pPr>
      <w:r>
        <w:rPr>
          <w:rFonts w:hint="eastAsia"/>
          <w:szCs w:val="21"/>
        </w:rPr>
        <w:t xml:space="preserve">    </w:t>
      </w:r>
      <w:r>
        <w:rPr>
          <w:rFonts w:hint="eastAsia"/>
          <w:szCs w:val="21"/>
        </w:rPr>
        <w:t>称取</w:t>
      </w:r>
      <w:r>
        <w:rPr>
          <w:szCs w:val="21"/>
        </w:rPr>
        <w:t>1.0g</w:t>
      </w:r>
      <w:r>
        <w:rPr>
          <w:rFonts w:hint="eastAsia"/>
          <w:szCs w:val="21"/>
        </w:rPr>
        <w:t>保持性复混（合）肥料与</w:t>
      </w:r>
      <w:r>
        <w:rPr>
          <w:rFonts w:hint="eastAsia"/>
          <w:szCs w:val="21"/>
        </w:rPr>
        <w:t>0.5g</w:t>
      </w:r>
      <w:r>
        <w:rPr>
          <w:rFonts w:hint="eastAsia"/>
          <w:szCs w:val="21"/>
        </w:rPr>
        <w:t>尿素（分析纯），同时称取等量对照肥料与</w:t>
      </w:r>
      <w:r>
        <w:rPr>
          <w:rFonts w:hint="eastAsia"/>
          <w:szCs w:val="21"/>
        </w:rPr>
        <w:t>0.5g</w:t>
      </w:r>
      <w:r>
        <w:rPr>
          <w:rFonts w:hint="eastAsia"/>
          <w:szCs w:val="21"/>
        </w:rPr>
        <w:t>尿素（分析纯），分别放入</w:t>
      </w:r>
      <w:r>
        <w:rPr>
          <w:rFonts w:hint="eastAsia"/>
          <w:szCs w:val="21"/>
        </w:rPr>
        <w:t>100</w:t>
      </w:r>
      <w:r>
        <w:rPr>
          <w:szCs w:val="21"/>
        </w:rPr>
        <w:t>mL</w:t>
      </w:r>
      <w:r>
        <w:rPr>
          <w:rFonts w:hint="eastAsia"/>
          <w:szCs w:val="21"/>
        </w:rPr>
        <w:t>容量瓶中，用蒸馏水定容，吸取</w:t>
      </w:r>
      <w:r>
        <w:rPr>
          <w:szCs w:val="21"/>
        </w:rPr>
        <w:t>20mL</w:t>
      </w:r>
      <w:r>
        <w:rPr>
          <w:rFonts w:hint="eastAsia"/>
          <w:szCs w:val="21"/>
        </w:rPr>
        <w:t>溶液，按</w:t>
      </w:r>
      <w:r>
        <w:rPr>
          <w:rFonts w:hint="eastAsia"/>
          <w:szCs w:val="21"/>
        </w:rPr>
        <w:t>B.3.5.5</w:t>
      </w:r>
      <w:r>
        <w:rPr>
          <w:rFonts w:hint="eastAsia"/>
          <w:szCs w:val="21"/>
        </w:rPr>
        <w:t>进行全氮含量测定。</w:t>
      </w:r>
    </w:p>
    <w:p w:rsidR="00E87AEA" w:rsidRDefault="006A25F0">
      <w:pPr>
        <w:pStyle w:val="afc"/>
        <w:spacing w:before="156" w:after="156"/>
        <w:ind w:left="0"/>
      </w:pPr>
      <w:r>
        <w:rPr>
          <w:rFonts w:hint="eastAsia"/>
        </w:rPr>
        <w:t>氨挥发培养后全氮含量测定</w:t>
      </w:r>
    </w:p>
    <w:p w:rsidR="00E87AEA" w:rsidRDefault="006A25F0">
      <w:pPr>
        <w:spacing w:beforeLines="50" w:before="156" w:afterLines="50" w:after="156"/>
        <w:ind w:firstLine="465"/>
        <w:outlineLvl w:val="4"/>
        <w:rPr>
          <w:rFonts w:ascii="黑体" w:eastAsia="黑体" w:hAnsi="宋体" w:cs="黑体"/>
          <w:kern w:val="0"/>
          <w:szCs w:val="21"/>
        </w:rPr>
      </w:pPr>
      <w:r>
        <w:rPr>
          <w:rFonts w:hint="eastAsia"/>
          <w:szCs w:val="21"/>
        </w:rPr>
        <w:t>称取</w:t>
      </w:r>
      <w:r>
        <w:rPr>
          <w:szCs w:val="21"/>
        </w:rPr>
        <w:t>1.0g</w:t>
      </w:r>
      <w:r>
        <w:rPr>
          <w:rFonts w:hint="eastAsia"/>
          <w:szCs w:val="21"/>
        </w:rPr>
        <w:t>保持性复混（合）肥料与</w:t>
      </w:r>
      <w:r>
        <w:rPr>
          <w:rFonts w:hint="eastAsia"/>
          <w:szCs w:val="21"/>
        </w:rPr>
        <w:t>0.5g</w:t>
      </w:r>
      <w:r>
        <w:rPr>
          <w:rFonts w:hint="eastAsia"/>
          <w:szCs w:val="21"/>
        </w:rPr>
        <w:t>尿素（分析纯），同时称取等量对照肥料与</w:t>
      </w:r>
      <w:r>
        <w:rPr>
          <w:rFonts w:hint="eastAsia"/>
          <w:szCs w:val="21"/>
        </w:rPr>
        <w:t>0.5g</w:t>
      </w:r>
      <w:r>
        <w:rPr>
          <w:rFonts w:hint="eastAsia"/>
          <w:szCs w:val="21"/>
        </w:rPr>
        <w:t>尿素（分析纯），分别放入</w:t>
      </w:r>
      <w:r>
        <w:rPr>
          <w:szCs w:val="21"/>
        </w:rPr>
        <w:t>250mL</w:t>
      </w:r>
      <w:r>
        <w:rPr>
          <w:rFonts w:hint="eastAsia"/>
          <w:szCs w:val="21"/>
        </w:rPr>
        <w:t>三角烧瓶中，准确加入</w:t>
      </w:r>
      <w:r>
        <w:rPr>
          <w:szCs w:val="21"/>
        </w:rPr>
        <w:t>100mL 0.1g/L</w:t>
      </w:r>
      <w:r>
        <w:rPr>
          <w:rFonts w:hint="eastAsia"/>
          <w:szCs w:val="21"/>
        </w:rPr>
        <w:t>的脲酶溶液，在恒温震荡培养箱中于</w:t>
      </w:r>
      <w:r>
        <w:rPr>
          <w:szCs w:val="21"/>
        </w:rPr>
        <w:t>45℃</w:t>
      </w:r>
      <w:r>
        <w:rPr>
          <w:szCs w:val="21"/>
        </w:rPr>
        <w:t>下，</w:t>
      </w:r>
      <w:r>
        <w:rPr>
          <w:szCs w:val="21"/>
        </w:rPr>
        <w:t>120</w:t>
      </w:r>
      <w:r>
        <w:rPr>
          <w:rFonts w:hint="eastAsia"/>
          <w:szCs w:val="21"/>
        </w:rPr>
        <w:t>r</w:t>
      </w:r>
      <w:r>
        <w:rPr>
          <w:szCs w:val="21"/>
        </w:rPr>
        <w:t>/min</w:t>
      </w:r>
      <w:r>
        <w:rPr>
          <w:rFonts w:hint="eastAsia"/>
          <w:szCs w:val="21"/>
        </w:rPr>
        <w:t>保温震荡培养</w:t>
      </w:r>
      <w:r>
        <w:rPr>
          <w:szCs w:val="21"/>
        </w:rPr>
        <w:t>1h</w:t>
      </w:r>
      <w:r>
        <w:rPr>
          <w:rFonts w:hint="eastAsia"/>
          <w:szCs w:val="21"/>
        </w:rPr>
        <w:t>（如使用空气浴恒温震荡培养箱培养，应在放入试样达到规定温度半小时后计时），培养结束后，过滤，吸取</w:t>
      </w:r>
      <w:r>
        <w:rPr>
          <w:szCs w:val="21"/>
        </w:rPr>
        <w:t>20mL</w:t>
      </w:r>
      <w:r>
        <w:rPr>
          <w:szCs w:val="21"/>
        </w:rPr>
        <w:t>滤</w:t>
      </w:r>
      <w:r>
        <w:rPr>
          <w:rFonts w:hint="eastAsia"/>
          <w:szCs w:val="21"/>
        </w:rPr>
        <w:t>液，按</w:t>
      </w:r>
      <w:r>
        <w:rPr>
          <w:rFonts w:hint="eastAsia"/>
          <w:szCs w:val="21"/>
        </w:rPr>
        <w:t>B.3.5.5</w:t>
      </w:r>
      <w:r>
        <w:rPr>
          <w:rFonts w:hint="eastAsia"/>
          <w:szCs w:val="21"/>
        </w:rPr>
        <w:t>进行全氮含量测定。</w:t>
      </w:r>
    </w:p>
    <w:p w:rsidR="00E87AEA" w:rsidRDefault="006A25F0">
      <w:pPr>
        <w:pStyle w:val="afb"/>
        <w:spacing w:before="156" w:after="156"/>
      </w:pPr>
      <w:r>
        <w:rPr>
          <w:rFonts w:hint="eastAsia"/>
        </w:rPr>
        <w:t>保持性掺混肥料</w:t>
      </w:r>
    </w:p>
    <w:p w:rsidR="00E87AEA" w:rsidRDefault="006A25F0">
      <w:pPr>
        <w:pStyle w:val="afc"/>
        <w:spacing w:before="156" w:after="156"/>
        <w:ind w:left="0"/>
      </w:pPr>
      <w:r>
        <w:rPr>
          <w:rFonts w:hint="eastAsia"/>
        </w:rPr>
        <w:t>试样全氮含量测定</w:t>
      </w:r>
    </w:p>
    <w:p w:rsidR="00E87AEA" w:rsidRDefault="006A25F0">
      <w:pPr>
        <w:spacing w:beforeLines="50" w:before="156" w:afterLines="50" w:after="156"/>
        <w:outlineLvl w:val="4"/>
        <w:rPr>
          <w:szCs w:val="21"/>
        </w:rPr>
      </w:pPr>
      <w:r>
        <w:rPr>
          <w:rFonts w:hint="eastAsia"/>
          <w:szCs w:val="21"/>
        </w:rPr>
        <w:t xml:space="preserve">    </w:t>
      </w:r>
      <w:r>
        <w:rPr>
          <w:rFonts w:hint="eastAsia"/>
          <w:szCs w:val="21"/>
        </w:rPr>
        <w:t>称取</w:t>
      </w:r>
      <w:r>
        <w:rPr>
          <w:szCs w:val="21"/>
        </w:rPr>
        <w:t>1.0g</w:t>
      </w:r>
      <w:r>
        <w:rPr>
          <w:rFonts w:hint="eastAsia"/>
          <w:szCs w:val="21"/>
        </w:rPr>
        <w:t>保持性掺混肥料与</w:t>
      </w:r>
      <w:r>
        <w:rPr>
          <w:rFonts w:hint="eastAsia"/>
          <w:szCs w:val="21"/>
        </w:rPr>
        <w:t>0.5g</w:t>
      </w:r>
      <w:r>
        <w:rPr>
          <w:rFonts w:hint="eastAsia"/>
          <w:szCs w:val="21"/>
        </w:rPr>
        <w:t>尿素（分析纯），同时称取等量对照肥料与</w:t>
      </w:r>
      <w:r>
        <w:rPr>
          <w:rFonts w:hint="eastAsia"/>
          <w:szCs w:val="21"/>
        </w:rPr>
        <w:t>0.5g</w:t>
      </w:r>
      <w:r>
        <w:rPr>
          <w:rFonts w:hint="eastAsia"/>
          <w:szCs w:val="21"/>
        </w:rPr>
        <w:t>尿素（分析纯）</w:t>
      </w:r>
      <w:r>
        <w:rPr>
          <w:rFonts w:hint="eastAsia"/>
          <w:szCs w:val="21"/>
        </w:rPr>
        <w:t>，分别放入</w:t>
      </w:r>
      <w:r>
        <w:rPr>
          <w:rFonts w:hint="eastAsia"/>
          <w:szCs w:val="21"/>
        </w:rPr>
        <w:t>100</w:t>
      </w:r>
      <w:r>
        <w:rPr>
          <w:szCs w:val="21"/>
        </w:rPr>
        <w:t>mL</w:t>
      </w:r>
      <w:r>
        <w:rPr>
          <w:rFonts w:hint="eastAsia"/>
          <w:szCs w:val="21"/>
        </w:rPr>
        <w:t>容量瓶中，用蒸馏水定容，吸取</w:t>
      </w:r>
      <w:r>
        <w:rPr>
          <w:szCs w:val="21"/>
        </w:rPr>
        <w:t>20mL</w:t>
      </w:r>
      <w:r>
        <w:rPr>
          <w:rFonts w:hint="eastAsia"/>
          <w:szCs w:val="21"/>
        </w:rPr>
        <w:t>溶液，按</w:t>
      </w:r>
      <w:r>
        <w:rPr>
          <w:rFonts w:hint="eastAsia"/>
          <w:szCs w:val="21"/>
        </w:rPr>
        <w:t>B.3.5.5</w:t>
      </w:r>
      <w:r>
        <w:rPr>
          <w:rFonts w:hint="eastAsia"/>
          <w:szCs w:val="21"/>
        </w:rPr>
        <w:t>进行全氮含量测定。</w:t>
      </w:r>
    </w:p>
    <w:p w:rsidR="00E87AEA" w:rsidRDefault="006A25F0">
      <w:pPr>
        <w:pStyle w:val="afc"/>
        <w:spacing w:before="156" w:after="156"/>
        <w:ind w:left="0"/>
      </w:pPr>
      <w:r>
        <w:rPr>
          <w:rFonts w:hint="eastAsia"/>
        </w:rPr>
        <w:t>氨挥发培养后全氮含量测定</w:t>
      </w:r>
    </w:p>
    <w:p w:rsidR="00E87AEA" w:rsidRDefault="006A25F0">
      <w:pPr>
        <w:spacing w:beforeLines="50" w:before="156" w:afterLines="50" w:after="156"/>
        <w:ind w:firstLine="465"/>
        <w:outlineLvl w:val="4"/>
        <w:rPr>
          <w:kern w:val="0"/>
          <w:szCs w:val="21"/>
        </w:rPr>
      </w:pPr>
      <w:r>
        <w:rPr>
          <w:rFonts w:hint="eastAsia"/>
          <w:szCs w:val="21"/>
        </w:rPr>
        <w:t>称取</w:t>
      </w:r>
      <w:r>
        <w:rPr>
          <w:szCs w:val="21"/>
        </w:rPr>
        <w:t>1.0g</w:t>
      </w:r>
      <w:r>
        <w:rPr>
          <w:rFonts w:hint="eastAsia"/>
          <w:szCs w:val="21"/>
        </w:rPr>
        <w:t>保持性掺混肥料与</w:t>
      </w:r>
      <w:r>
        <w:rPr>
          <w:rFonts w:hint="eastAsia"/>
          <w:szCs w:val="21"/>
        </w:rPr>
        <w:t>0.5g</w:t>
      </w:r>
      <w:r>
        <w:rPr>
          <w:rFonts w:hint="eastAsia"/>
          <w:szCs w:val="21"/>
        </w:rPr>
        <w:t>尿素（分析纯），同时称取等量对照肥料与</w:t>
      </w:r>
      <w:r>
        <w:rPr>
          <w:rFonts w:hint="eastAsia"/>
          <w:szCs w:val="21"/>
        </w:rPr>
        <w:t>0.5g</w:t>
      </w:r>
      <w:r>
        <w:rPr>
          <w:rFonts w:hint="eastAsia"/>
          <w:szCs w:val="21"/>
        </w:rPr>
        <w:t>尿素（分析纯），分别放入</w:t>
      </w:r>
      <w:r>
        <w:rPr>
          <w:szCs w:val="21"/>
        </w:rPr>
        <w:t>250mL</w:t>
      </w:r>
      <w:r>
        <w:rPr>
          <w:rFonts w:hint="eastAsia"/>
          <w:szCs w:val="21"/>
        </w:rPr>
        <w:t>三角烧瓶中，准确加入</w:t>
      </w:r>
      <w:r>
        <w:rPr>
          <w:szCs w:val="21"/>
        </w:rPr>
        <w:t>100mL 0.1g/L</w:t>
      </w:r>
      <w:r>
        <w:rPr>
          <w:rFonts w:hint="eastAsia"/>
          <w:szCs w:val="21"/>
        </w:rPr>
        <w:t>的脲酶溶液，在恒温震荡培养箱中于</w:t>
      </w:r>
      <w:r>
        <w:rPr>
          <w:szCs w:val="21"/>
        </w:rPr>
        <w:t>45℃</w:t>
      </w:r>
      <w:r>
        <w:rPr>
          <w:szCs w:val="21"/>
        </w:rPr>
        <w:t>下，</w:t>
      </w:r>
      <w:r>
        <w:rPr>
          <w:szCs w:val="21"/>
        </w:rPr>
        <w:t>120</w:t>
      </w:r>
      <w:r>
        <w:rPr>
          <w:rFonts w:hint="eastAsia"/>
          <w:szCs w:val="21"/>
        </w:rPr>
        <w:t>r</w:t>
      </w:r>
      <w:r>
        <w:rPr>
          <w:szCs w:val="21"/>
        </w:rPr>
        <w:t>/min</w:t>
      </w:r>
      <w:r>
        <w:rPr>
          <w:rFonts w:hint="eastAsia"/>
          <w:szCs w:val="21"/>
        </w:rPr>
        <w:t>保温震荡培养</w:t>
      </w:r>
      <w:r>
        <w:rPr>
          <w:szCs w:val="21"/>
        </w:rPr>
        <w:t>1h</w:t>
      </w:r>
      <w:r>
        <w:rPr>
          <w:rFonts w:hint="eastAsia"/>
          <w:szCs w:val="21"/>
        </w:rPr>
        <w:t>（如使用空气浴恒温震荡培养箱培养，应在放入试样达到规定温度半小时后计时），培养结束后，过滤，吸取</w:t>
      </w:r>
      <w:r>
        <w:rPr>
          <w:szCs w:val="21"/>
        </w:rPr>
        <w:t>20mL</w:t>
      </w:r>
      <w:r>
        <w:rPr>
          <w:szCs w:val="21"/>
        </w:rPr>
        <w:t>滤</w:t>
      </w:r>
      <w:r>
        <w:rPr>
          <w:rFonts w:hint="eastAsia"/>
          <w:szCs w:val="21"/>
        </w:rPr>
        <w:t>液，按</w:t>
      </w:r>
      <w:r>
        <w:rPr>
          <w:rFonts w:hint="eastAsia"/>
          <w:szCs w:val="21"/>
        </w:rPr>
        <w:t>B.3.5.5</w:t>
      </w:r>
      <w:r>
        <w:rPr>
          <w:rFonts w:hint="eastAsia"/>
          <w:szCs w:val="21"/>
        </w:rPr>
        <w:t>进行全氮含量测定。</w:t>
      </w:r>
    </w:p>
    <w:p w:rsidR="00E87AEA" w:rsidRDefault="006A25F0">
      <w:pPr>
        <w:pStyle w:val="afa"/>
        <w:spacing w:before="156" w:after="156"/>
      </w:pPr>
      <w:r>
        <w:rPr>
          <w:rFonts w:hint="eastAsia"/>
        </w:rPr>
        <w:t>计算</w:t>
      </w:r>
    </w:p>
    <w:p w:rsidR="00E87AEA" w:rsidRDefault="006A25F0">
      <w:pPr>
        <w:widowControl/>
        <w:tabs>
          <w:tab w:val="center" w:pos="4201"/>
          <w:tab w:val="right" w:leader="dot" w:pos="9298"/>
        </w:tabs>
        <w:autoSpaceDE w:val="0"/>
        <w:autoSpaceDN w:val="0"/>
        <w:spacing w:line="360" w:lineRule="auto"/>
        <w:ind w:firstLineChars="200" w:firstLine="420"/>
        <w:rPr>
          <w:kern w:val="0"/>
          <w:szCs w:val="21"/>
        </w:rPr>
      </w:pPr>
      <w:r>
        <w:rPr>
          <w:rFonts w:cs="宋体" w:hint="eastAsia"/>
          <w:kern w:val="0"/>
          <w:szCs w:val="21"/>
        </w:rPr>
        <w:t>氨挥发减少率</w:t>
      </w:r>
      <w:r>
        <w:rPr>
          <w:kern w:val="0"/>
          <w:szCs w:val="21"/>
        </w:rPr>
        <w:t>dA</w:t>
      </w:r>
      <w:r>
        <w:rPr>
          <w:rFonts w:cs="宋体" w:hint="eastAsia"/>
          <w:kern w:val="0"/>
          <w:szCs w:val="21"/>
        </w:rPr>
        <w:t>，数值以</w:t>
      </w:r>
      <w:r>
        <w:rPr>
          <w:kern w:val="0"/>
          <w:szCs w:val="21"/>
        </w:rPr>
        <w:t>%</w:t>
      </w:r>
      <w:r>
        <w:rPr>
          <w:rFonts w:cs="宋体" w:hint="eastAsia"/>
          <w:kern w:val="0"/>
          <w:szCs w:val="21"/>
        </w:rPr>
        <w:t>表示，按式（</w:t>
      </w:r>
      <w:r>
        <w:rPr>
          <w:rFonts w:cs="宋体" w:hint="eastAsia"/>
          <w:kern w:val="0"/>
          <w:szCs w:val="21"/>
        </w:rPr>
        <w:t>B.</w:t>
      </w:r>
      <w:r>
        <w:rPr>
          <w:rFonts w:hint="eastAsia"/>
          <w:kern w:val="0"/>
          <w:szCs w:val="21"/>
        </w:rPr>
        <w:t>1</w:t>
      </w:r>
      <w:r>
        <w:rPr>
          <w:rFonts w:cs="宋体" w:hint="eastAsia"/>
          <w:kern w:val="0"/>
          <w:szCs w:val="21"/>
        </w:rPr>
        <w:t>）计算。</w:t>
      </w:r>
    </w:p>
    <w:p w:rsidR="00E87AEA" w:rsidRDefault="006A25F0">
      <w:pPr>
        <w:widowControl/>
        <w:tabs>
          <w:tab w:val="center" w:pos="4201"/>
          <w:tab w:val="right" w:leader="dot" w:pos="9298"/>
        </w:tabs>
        <w:autoSpaceDE w:val="0"/>
        <w:autoSpaceDN w:val="0"/>
        <w:spacing w:line="360" w:lineRule="auto"/>
        <w:jc w:val="right"/>
        <w:rPr>
          <w:rFonts w:ascii="宋体" w:hAnsi="宋体" w:cs="宋体"/>
          <w:kern w:val="0"/>
          <w:szCs w:val="21"/>
        </w:rPr>
      </w:pPr>
      <w:r>
        <w:rPr>
          <w:rFonts w:ascii="宋体" w:hAnsi="宋体" w:cs="宋体"/>
          <w:kern w:val="0"/>
          <w:position w:val="-28"/>
          <w:szCs w:val="21"/>
        </w:rPr>
        <w:pict>
          <v:shape id="_x0000_i1030" type="#_x0000_t75" style="width:162.75pt;height:38.25pt">
            <v:imagedata r:id="rId20" o:title=""/>
          </v:shape>
        </w:pict>
      </w:r>
      <w:r>
        <w:rPr>
          <w:rFonts w:ascii="宋体" w:hAnsi="宋体" w:cs="宋体" w:hint="eastAsia"/>
          <w:kern w:val="0"/>
          <w:szCs w:val="21"/>
        </w:rPr>
        <w:t>……………………………………（</w:t>
      </w:r>
      <w:r>
        <w:rPr>
          <w:rFonts w:ascii="宋体" w:cs="宋体" w:hint="eastAsia"/>
          <w:kern w:val="0"/>
          <w:szCs w:val="21"/>
        </w:rPr>
        <w:t>B.1</w:t>
      </w:r>
      <w:r>
        <w:rPr>
          <w:rFonts w:ascii="宋体" w:hAnsi="宋体" w:cs="宋体" w:hint="eastAsia"/>
          <w:kern w:val="0"/>
          <w:szCs w:val="21"/>
        </w:rPr>
        <w:t>）</w:t>
      </w:r>
    </w:p>
    <w:p w:rsidR="00E87AEA" w:rsidRDefault="006A25F0">
      <w:pPr>
        <w:widowControl/>
        <w:tabs>
          <w:tab w:val="center" w:pos="4201"/>
          <w:tab w:val="right" w:leader="dot" w:pos="9298"/>
        </w:tabs>
        <w:autoSpaceDE w:val="0"/>
        <w:autoSpaceDN w:val="0"/>
        <w:spacing w:line="360" w:lineRule="auto"/>
        <w:ind w:firstLineChars="200" w:firstLine="420"/>
        <w:jc w:val="left"/>
        <w:rPr>
          <w:rFonts w:ascii="宋体" w:hAnsi="宋体" w:cs="宋体"/>
          <w:kern w:val="0"/>
          <w:szCs w:val="21"/>
        </w:rPr>
      </w:pPr>
      <w:r>
        <w:rPr>
          <w:rFonts w:ascii="宋体" w:hAnsi="宋体" w:cs="宋体" w:hint="eastAsia"/>
          <w:kern w:val="0"/>
          <w:szCs w:val="21"/>
        </w:rPr>
        <w:t>式中：</w:t>
      </w:r>
    </w:p>
    <w:p w:rsidR="00E87AEA" w:rsidRDefault="006A25F0">
      <w:pPr>
        <w:ind w:firstLineChars="200" w:firstLine="420"/>
        <w:rPr>
          <w:szCs w:val="21"/>
        </w:rPr>
      </w:pPr>
      <w:r>
        <w:rPr>
          <w:kern w:val="0"/>
          <w:szCs w:val="21"/>
        </w:rPr>
        <w:t>dA-</w:t>
      </w:r>
      <w:r>
        <w:rPr>
          <w:rFonts w:cs="宋体" w:hint="eastAsia"/>
          <w:kern w:val="0"/>
          <w:szCs w:val="21"/>
        </w:rPr>
        <w:t>氨挥发减少率（</w:t>
      </w:r>
      <w:r>
        <w:rPr>
          <w:kern w:val="0"/>
          <w:szCs w:val="21"/>
        </w:rPr>
        <w:t>%</w:t>
      </w:r>
      <w:r>
        <w:rPr>
          <w:rFonts w:cs="宋体" w:hint="eastAsia"/>
          <w:kern w:val="0"/>
          <w:szCs w:val="21"/>
        </w:rPr>
        <w:t>）；</w:t>
      </w:r>
    </w:p>
    <w:p w:rsidR="00E87AEA" w:rsidRDefault="006A25F0">
      <w:pPr>
        <w:ind w:firstLineChars="200" w:firstLine="420"/>
        <w:rPr>
          <w:szCs w:val="21"/>
        </w:rPr>
      </w:pPr>
      <w:r>
        <w:rPr>
          <w:szCs w:val="21"/>
        </w:rPr>
        <w:t>N</w:t>
      </w:r>
      <w:r>
        <w:rPr>
          <w:rFonts w:cs="宋体" w:hint="eastAsia"/>
          <w:szCs w:val="21"/>
        </w:rPr>
        <w:t>—对照肥料的总氮质量分数；</w:t>
      </w:r>
    </w:p>
    <w:p w:rsidR="00E87AEA" w:rsidRDefault="006A25F0">
      <w:pPr>
        <w:ind w:firstLineChars="200" w:firstLine="420"/>
        <w:rPr>
          <w:szCs w:val="21"/>
        </w:rPr>
      </w:pPr>
      <w:r>
        <w:rPr>
          <w:szCs w:val="21"/>
        </w:rPr>
        <w:t>n</w:t>
      </w:r>
      <w:r>
        <w:rPr>
          <w:rFonts w:cs="宋体" w:hint="eastAsia"/>
          <w:szCs w:val="21"/>
        </w:rPr>
        <w:t>—经过氨挥发培养的对照肥料试样的剩余氮质量分数；</w:t>
      </w:r>
    </w:p>
    <w:p w:rsidR="00E87AEA" w:rsidRDefault="006A25F0">
      <w:pPr>
        <w:ind w:firstLineChars="200" w:firstLine="420"/>
        <w:rPr>
          <w:szCs w:val="21"/>
        </w:rPr>
      </w:pPr>
      <w:r>
        <w:rPr>
          <w:szCs w:val="21"/>
        </w:rPr>
        <w:t>M</w:t>
      </w:r>
      <w:r>
        <w:rPr>
          <w:rFonts w:cs="宋体" w:hint="eastAsia"/>
          <w:szCs w:val="21"/>
        </w:rPr>
        <w:t>—保持性肥料试样的总氮质量分数；</w:t>
      </w:r>
    </w:p>
    <w:p w:rsidR="00E87AEA" w:rsidRDefault="006A25F0">
      <w:pPr>
        <w:ind w:firstLineChars="200" w:firstLine="420"/>
        <w:rPr>
          <w:szCs w:val="21"/>
        </w:rPr>
      </w:pPr>
      <w:r>
        <w:rPr>
          <w:szCs w:val="21"/>
        </w:rPr>
        <w:t>m</w:t>
      </w:r>
      <w:r>
        <w:rPr>
          <w:rFonts w:cs="宋体" w:hint="eastAsia"/>
          <w:szCs w:val="21"/>
        </w:rPr>
        <w:t>—经过氨挥发培养的保持性肥料试样的剩余氮质量分数；</w:t>
      </w:r>
    </w:p>
    <w:p w:rsidR="00E87AEA" w:rsidRDefault="006A25F0">
      <w:pPr>
        <w:pStyle w:val="afa"/>
        <w:spacing w:before="156" w:after="156"/>
      </w:pPr>
      <w:r>
        <w:rPr>
          <w:rFonts w:hint="eastAsia"/>
        </w:rPr>
        <w:t>允许差</w:t>
      </w:r>
    </w:p>
    <w:p w:rsidR="00E87AEA" w:rsidRDefault="006A25F0">
      <w:pPr>
        <w:widowControl/>
        <w:tabs>
          <w:tab w:val="center" w:pos="4201"/>
          <w:tab w:val="right" w:leader="dot" w:pos="9298"/>
        </w:tabs>
        <w:autoSpaceDE w:val="0"/>
        <w:autoSpaceDN w:val="0"/>
        <w:spacing w:line="360" w:lineRule="auto"/>
        <w:ind w:firstLineChars="200" w:firstLine="420"/>
        <w:rPr>
          <w:rFonts w:cs="宋体"/>
          <w:kern w:val="0"/>
          <w:szCs w:val="21"/>
        </w:rPr>
      </w:pPr>
      <w:r>
        <w:rPr>
          <w:rFonts w:cs="宋体" w:hint="eastAsia"/>
          <w:kern w:val="0"/>
          <w:szCs w:val="21"/>
        </w:rPr>
        <w:t>平行测定结果之间相对平均偏差不大于</w:t>
      </w:r>
      <w:r>
        <w:rPr>
          <w:rFonts w:cs="宋体" w:hint="eastAsia"/>
          <w:kern w:val="0"/>
          <w:szCs w:val="21"/>
        </w:rPr>
        <w:t>30</w:t>
      </w:r>
      <w:r>
        <w:rPr>
          <w:kern w:val="0"/>
          <w:szCs w:val="21"/>
        </w:rPr>
        <w:t>%</w:t>
      </w:r>
      <w:r>
        <w:rPr>
          <w:rFonts w:cs="宋体" w:hint="eastAsia"/>
          <w:kern w:val="0"/>
          <w:szCs w:val="21"/>
        </w:rPr>
        <w:t>。</w:t>
      </w:r>
    </w:p>
    <w:p w:rsidR="00E87AEA" w:rsidRDefault="00E87AEA">
      <w:pPr>
        <w:pStyle w:val="aa"/>
      </w:pPr>
    </w:p>
    <w:p w:rsidR="00E87AEA" w:rsidRDefault="00E87AEA">
      <w:pPr>
        <w:pStyle w:val="af5"/>
      </w:pPr>
    </w:p>
    <w:p w:rsidR="00E87AEA" w:rsidRDefault="006A25F0">
      <w:pPr>
        <w:pStyle w:val="af8"/>
      </w:pPr>
      <w:r>
        <w:br/>
      </w:r>
      <w:bookmarkStart w:id="33" w:name="_Toc491250102"/>
      <w:r>
        <w:rPr>
          <w:rFonts w:hint="eastAsia"/>
        </w:rPr>
        <w:t>（资料性附录）</w:t>
      </w:r>
      <w:r>
        <w:br/>
      </w:r>
      <w:r>
        <w:rPr>
          <w:rFonts w:hint="eastAsia"/>
        </w:rPr>
        <w:t>对照样品称取方法示例</w:t>
      </w:r>
      <w:bookmarkEnd w:id="33"/>
    </w:p>
    <w:p w:rsidR="00E87AEA" w:rsidRDefault="006A25F0">
      <w:pPr>
        <w:pStyle w:val="af9"/>
        <w:spacing w:before="312" w:after="312"/>
      </w:pPr>
      <w:r>
        <w:rPr>
          <w:rFonts w:hint="eastAsia"/>
        </w:rPr>
        <w:t>对照样品称取方法</w:t>
      </w:r>
    </w:p>
    <w:p w:rsidR="00E87AEA" w:rsidRDefault="006A25F0">
      <w:pPr>
        <w:pStyle w:val="affd"/>
      </w:pPr>
      <w:r>
        <w:t>以</w:t>
      </w:r>
      <w:r>
        <w:t>1</w:t>
      </w:r>
      <w:r>
        <w:rPr>
          <w:rFonts w:hint="eastAsia"/>
        </w:rPr>
        <w:t>.0</w:t>
      </w:r>
      <w:r>
        <w:t xml:space="preserve">00g 20-10-15 </w:t>
      </w:r>
      <w:r>
        <w:t>的保持性复合肥</w:t>
      </w:r>
      <w:r>
        <w:rPr>
          <w:rFonts w:hint="eastAsia"/>
        </w:rPr>
        <w:t>（氯基）</w:t>
      </w:r>
      <w:r>
        <w:t>为例：</w:t>
      </w:r>
    </w:p>
    <w:p w:rsidR="00E87AEA" w:rsidRDefault="006A25F0">
      <w:pPr>
        <w:pStyle w:val="affd"/>
      </w:pPr>
      <w:r>
        <w:t>1.</w:t>
      </w:r>
      <w:r>
        <w:t>根据试样中</w:t>
      </w:r>
      <w:r>
        <w:t>P</w:t>
      </w:r>
      <w:r>
        <w:rPr>
          <w:vertAlign w:val="subscript"/>
        </w:rPr>
        <w:t>2</w:t>
      </w:r>
      <w:r>
        <w:t>O</w:t>
      </w:r>
      <w:r>
        <w:rPr>
          <w:vertAlign w:val="subscript"/>
        </w:rPr>
        <w:t>5</w:t>
      </w:r>
      <w:r>
        <w:t>的含量</w:t>
      </w:r>
      <w:r>
        <w:t>10%</w:t>
      </w:r>
      <w:r>
        <w:t>计算出磷酸二氢铵（分析纯，其</w:t>
      </w:r>
      <w:r>
        <w:t>P</w:t>
      </w:r>
      <w:r>
        <w:rPr>
          <w:vertAlign w:val="subscript"/>
        </w:rPr>
        <w:t>2</w:t>
      </w:r>
      <w:r>
        <w:t>O</w:t>
      </w:r>
      <w:r>
        <w:rPr>
          <w:vertAlign w:val="subscript"/>
        </w:rPr>
        <w:t>5</w:t>
      </w:r>
      <w:r>
        <w:t>含量为</w:t>
      </w:r>
      <w:r>
        <w:t>61.74%</w:t>
      </w:r>
      <w:r>
        <w:t>、</w:t>
      </w:r>
      <w:r>
        <w:t>N</w:t>
      </w:r>
      <w:r>
        <w:t>含量为</w:t>
      </w:r>
      <w:r>
        <w:t>12.17%</w:t>
      </w:r>
      <w:r>
        <w:t>）的称样量为</w:t>
      </w:r>
      <w:r>
        <w:t>1</w:t>
      </w:r>
      <w:r>
        <w:t>×</w:t>
      </w:r>
      <w:r>
        <w:t>10%/61.74%=0.1620g;</w:t>
      </w:r>
    </w:p>
    <w:p w:rsidR="00E87AEA" w:rsidRDefault="006A25F0">
      <w:pPr>
        <w:pStyle w:val="affd"/>
      </w:pPr>
      <w:r>
        <w:t>2.</w:t>
      </w:r>
      <w:r>
        <w:t>根据肥料中尿素含量</w:t>
      </w:r>
      <w:r>
        <w:t>26%</w:t>
      </w:r>
      <w:r>
        <w:t>，即尿素（分析纯，其</w:t>
      </w:r>
      <w:r>
        <w:t>N</w:t>
      </w:r>
      <w:r>
        <w:t>含量为</w:t>
      </w:r>
      <w:r>
        <w:t>46.7%</w:t>
      </w:r>
      <w:r>
        <w:t>）的称样量为</w:t>
      </w:r>
      <w:r>
        <w:t>1</w:t>
      </w:r>
      <w:r>
        <w:t>×</w:t>
      </w:r>
      <w:r>
        <w:t>26%=0.2600g;</w:t>
      </w:r>
    </w:p>
    <w:p w:rsidR="00E87AEA" w:rsidRDefault="006A25F0">
      <w:pPr>
        <w:pStyle w:val="affd"/>
      </w:pPr>
      <w:r>
        <w:t>3.</w:t>
      </w:r>
      <w:r>
        <w:t>剩余氮用氯化铵补齐，即氯化铵（分析纯，其</w:t>
      </w:r>
      <w:r>
        <w:t>N</w:t>
      </w:r>
      <w:r>
        <w:t>含量为</w:t>
      </w:r>
      <w:r>
        <w:t>26.2%</w:t>
      </w:r>
      <w:r>
        <w:t>）的称样量为：（</w:t>
      </w:r>
      <w:r>
        <w:t>1</w:t>
      </w:r>
      <w:r>
        <w:t>×</w:t>
      </w:r>
      <w:r>
        <w:t>20%</w:t>
      </w:r>
      <w:r>
        <w:t>－</w:t>
      </w:r>
      <w:r>
        <w:t>0.26</w:t>
      </w:r>
      <w:r>
        <w:t>×</w:t>
      </w:r>
      <w:r>
        <w:t>46.7%</w:t>
      </w:r>
      <w:r>
        <w:t>－</w:t>
      </w:r>
      <w:r>
        <w:t>0.1620</w:t>
      </w:r>
      <w:r>
        <w:t>×</w:t>
      </w:r>
      <w:r>
        <w:t>12.17%</w:t>
      </w:r>
      <w:r>
        <w:t>）</w:t>
      </w:r>
      <w:r>
        <w:t>/26.2%=0.2247g;</w:t>
      </w:r>
    </w:p>
    <w:p w:rsidR="00E87AEA" w:rsidRDefault="006A25F0">
      <w:pPr>
        <w:pStyle w:val="affd"/>
      </w:pPr>
      <w:r>
        <w:t>4.</w:t>
      </w:r>
      <w:r>
        <w:t>根据试样中</w:t>
      </w:r>
      <w:r>
        <w:t>K</w:t>
      </w:r>
      <w:r>
        <w:rPr>
          <w:vertAlign w:val="subscript"/>
        </w:rPr>
        <w:t>2</w:t>
      </w:r>
      <w:r>
        <w:t>O</w:t>
      </w:r>
      <w:r>
        <w:t>含量</w:t>
      </w:r>
      <w:r>
        <w:t>15%</w:t>
      </w:r>
      <w:r>
        <w:t>计算出氯化钾（分析纯，其</w:t>
      </w:r>
      <w:r>
        <w:t>K</w:t>
      </w:r>
      <w:r>
        <w:rPr>
          <w:vertAlign w:val="subscript"/>
        </w:rPr>
        <w:t>2</w:t>
      </w:r>
      <w:r>
        <w:t>O</w:t>
      </w:r>
      <w:r>
        <w:t>含量为</w:t>
      </w:r>
      <w:r>
        <w:t>62.7%</w:t>
      </w:r>
      <w:r>
        <w:t>）的称样量为</w:t>
      </w:r>
      <w:r>
        <w:t>1</w:t>
      </w:r>
      <w:r>
        <w:t>×</w:t>
      </w:r>
      <w:r>
        <w:t>15%/62.7%=0.2392g</w:t>
      </w:r>
      <w:r>
        <w:t>。</w:t>
      </w:r>
    </w:p>
    <w:p w:rsidR="00E87AEA" w:rsidRDefault="006A25F0">
      <w:pPr>
        <w:pStyle w:val="affd"/>
      </w:pPr>
      <w:r>
        <w:rPr>
          <w:rFonts w:hint="eastAsia"/>
        </w:rPr>
        <w:t>5.</w:t>
      </w:r>
      <w:r>
        <w:rPr>
          <w:rFonts w:hint="eastAsia"/>
        </w:rPr>
        <w:t>不足</w:t>
      </w:r>
      <w:r>
        <w:rPr>
          <w:rFonts w:hint="eastAsia"/>
        </w:rPr>
        <w:t>1g</w:t>
      </w:r>
      <w:r>
        <w:rPr>
          <w:rFonts w:hint="eastAsia"/>
        </w:rPr>
        <w:t>的重量使用</w:t>
      </w:r>
      <w:r>
        <w:rPr>
          <w:rFonts w:hint="eastAsia"/>
        </w:rPr>
        <w:t>SiO</w:t>
      </w:r>
      <w:r>
        <w:rPr>
          <w:rFonts w:hint="eastAsia"/>
          <w:vertAlign w:val="subscript"/>
        </w:rPr>
        <w:t>2</w:t>
      </w:r>
      <w:r>
        <w:rPr>
          <w:rFonts w:hint="eastAsia"/>
        </w:rPr>
        <w:t>（分析纯）补齐。</w:t>
      </w:r>
    </w:p>
    <w:p w:rsidR="00E87AEA" w:rsidRDefault="006A25F0">
      <w:pPr>
        <w:pStyle w:val="af9"/>
        <w:spacing w:before="312" w:after="312"/>
      </w:pPr>
      <w:r>
        <w:rPr>
          <w:rFonts w:hint="eastAsia"/>
        </w:rPr>
        <w:t>对照样品称取方法</w:t>
      </w:r>
    </w:p>
    <w:p w:rsidR="00E87AEA" w:rsidRDefault="006A25F0">
      <w:pPr>
        <w:pStyle w:val="affd"/>
      </w:pPr>
      <w:r>
        <w:t>以</w:t>
      </w:r>
      <w:r>
        <w:t xml:space="preserve">1.000g </w:t>
      </w:r>
      <w:r>
        <w:rPr>
          <w:rFonts w:hint="eastAsia"/>
        </w:rPr>
        <w:t>15</w:t>
      </w:r>
      <w:r>
        <w:t>-1</w:t>
      </w:r>
      <w:r>
        <w:rPr>
          <w:rFonts w:hint="eastAsia"/>
        </w:rPr>
        <w:t>5</w:t>
      </w:r>
      <w:r>
        <w:t xml:space="preserve">-15 </w:t>
      </w:r>
      <w:r>
        <w:t>的保持性复合肥</w:t>
      </w:r>
      <w:r>
        <w:rPr>
          <w:rFonts w:hint="eastAsia"/>
        </w:rPr>
        <w:t>（硫基）</w:t>
      </w:r>
      <w:r>
        <w:t>为例：</w:t>
      </w:r>
    </w:p>
    <w:p w:rsidR="00E87AEA" w:rsidRDefault="006A25F0">
      <w:pPr>
        <w:pStyle w:val="affd"/>
      </w:pPr>
      <w:r>
        <w:t>1.</w:t>
      </w:r>
      <w:r>
        <w:t>根据试样中</w:t>
      </w:r>
      <w:r>
        <w:t>P</w:t>
      </w:r>
      <w:r>
        <w:rPr>
          <w:vertAlign w:val="subscript"/>
        </w:rPr>
        <w:t>2</w:t>
      </w:r>
      <w:r>
        <w:t>O</w:t>
      </w:r>
      <w:r>
        <w:rPr>
          <w:vertAlign w:val="subscript"/>
        </w:rPr>
        <w:t>5</w:t>
      </w:r>
      <w:r>
        <w:t>的含量</w:t>
      </w:r>
      <w:r>
        <w:t>1</w:t>
      </w:r>
      <w:r>
        <w:rPr>
          <w:rFonts w:hint="eastAsia"/>
        </w:rPr>
        <w:t>5</w:t>
      </w:r>
      <w:r>
        <w:t>%</w:t>
      </w:r>
      <w:r>
        <w:t>计算出磷酸二氢铵（分析纯，其</w:t>
      </w:r>
      <w:r>
        <w:t>P</w:t>
      </w:r>
      <w:r>
        <w:rPr>
          <w:vertAlign w:val="subscript"/>
        </w:rPr>
        <w:t>2</w:t>
      </w:r>
      <w:r>
        <w:t>O</w:t>
      </w:r>
      <w:r>
        <w:rPr>
          <w:vertAlign w:val="subscript"/>
        </w:rPr>
        <w:t>5</w:t>
      </w:r>
      <w:r>
        <w:t>含量为</w:t>
      </w:r>
      <w:r>
        <w:t>61.74%</w:t>
      </w:r>
      <w:r>
        <w:t>、</w:t>
      </w:r>
      <w:r>
        <w:t>N</w:t>
      </w:r>
      <w:r>
        <w:t>含量为</w:t>
      </w:r>
      <w:r>
        <w:t>12.17%</w:t>
      </w:r>
      <w:r>
        <w:t>）的称样量为</w:t>
      </w:r>
      <w:r>
        <w:t>1</w:t>
      </w:r>
      <w:r>
        <w:t>×</w:t>
      </w:r>
      <w:r>
        <w:t>1</w:t>
      </w:r>
      <w:r>
        <w:rPr>
          <w:rFonts w:hint="eastAsia"/>
        </w:rPr>
        <w:t>5</w:t>
      </w:r>
      <w:r>
        <w:t>%/61.74%=0.</w:t>
      </w:r>
      <w:r>
        <w:rPr>
          <w:rFonts w:hint="eastAsia"/>
        </w:rPr>
        <w:t>2430</w:t>
      </w:r>
      <w:r>
        <w:t>g;</w:t>
      </w:r>
    </w:p>
    <w:p w:rsidR="00E87AEA" w:rsidRDefault="006A25F0">
      <w:pPr>
        <w:pStyle w:val="affd"/>
      </w:pPr>
      <w:r>
        <w:t>2.</w:t>
      </w:r>
      <w:r>
        <w:t>根据肥料中尿素含量</w:t>
      </w:r>
      <w:r>
        <w:rPr>
          <w:rFonts w:hint="eastAsia"/>
        </w:rPr>
        <w:t>17</w:t>
      </w:r>
      <w:r>
        <w:t>%</w:t>
      </w:r>
      <w:r>
        <w:t>，即尿素（分析纯，其</w:t>
      </w:r>
      <w:r>
        <w:t>N</w:t>
      </w:r>
      <w:r>
        <w:t>含量为</w:t>
      </w:r>
      <w:r>
        <w:t>46.7%</w:t>
      </w:r>
      <w:r>
        <w:t>）的称样量为</w:t>
      </w:r>
      <w:r>
        <w:t>1</w:t>
      </w:r>
      <w:r>
        <w:t>×</w:t>
      </w:r>
      <w:r>
        <w:rPr>
          <w:rFonts w:hint="eastAsia"/>
        </w:rPr>
        <w:t>17</w:t>
      </w:r>
      <w:r>
        <w:t>%=0.</w:t>
      </w:r>
      <w:r>
        <w:rPr>
          <w:rFonts w:hint="eastAsia"/>
        </w:rPr>
        <w:t>17</w:t>
      </w:r>
      <w:r>
        <w:t>00g;</w:t>
      </w:r>
    </w:p>
    <w:p w:rsidR="00E87AEA" w:rsidRDefault="006A25F0">
      <w:pPr>
        <w:pStyle w:val="affd"/>
      </w:pPr>
      <w:r>
        <w:t>3.</w:t>
      </w:r>
      <w:r>
        <w:t>剩余氮用</w:t>
      </w:r>
      <w:r>
        <w:rPr>
          <w:rFonts w:hint="eastAsia"/>
        </w:rPr>
        <w:t>硫</w:t>
      </w:r>
      <w:r>
        <w:t>铵补齐，即</w:t>
      </w:r>
      <w:r>
        <w:rPr>
          <w:rFonts w:hint="eastAsia"/>
        </w:rPr>
        <w:t>硫</w:t>
      </w:r>
      <w:r>
        <w:t>铵（分析纯，其</w:t>
      </w:r>
      <w:r>
        <w:t>N</w:t>
      </w:r>
      <w:r>
        <w:t>含量为</w:t>
      </w:r>
      <w:r>
        <w:t>2</w:t>
      </w:r>
      <w:r>
        <w:rPr>
          <w:rFonts w:hint="eastAsia"/>
        </w:rPr>
        <w:t>1.</w:t>
      </w:r>
      <w:r>
        <w:t>2%</w:t>
      </w:r>
      <w:r>
        <w:t>）的称样</w:t>
      </w:r>
      <w:r>
        <w:t>量为：（</w:t>
      </w:r>
      <w:r>
        <w:t>1</w:t>
      </w:r>
      <w:r>
        <w:t>×</w:t>
      </w:r>
      <w:r>
        <w:rPr>
          <w:rFonts w:hint="eastAsia"/>
        </w:rPr>
        <w:t>15</w:t>
      </w:r>
      <w:r>
        <w:t>%</w:t>
      </w:r>
      <w:r>
        <w:t>－</w:t>
      </w:r>
      <w:r>
        <w:t>0.</w:t>
      </w:r>
      <w:r>
        <w:rPr>
          <w:rFonts w:hint="eastAsia"/>
        </w:rPr>
        <w:t>17</w:t>
      </w:r>
      <w:r>
        <w:t>×</w:t>
      </w:r>
      <w:r>
        <w:t>46.7%</w:t>
      </w:r>
      <w:r>
        <w:t>－</w:t>
      </w:r>
      <w:r>
        <w:t>0.</w:t>
      </w:r>
      <w:r>
        <w:rPr>
          <w:rFonts w:hint="eastAsia"/>
        </w:rPr>
        <w:t>2430</w:t>
      </w:r>
      <w:r>
        <w:t>×</w:t>
      </w:r>
      <w:r>
        <w:t>12.17%</w:t>
      </w:r>
      <w:r>
        <w:t>）</w:t>
      </w:r>
      <w:r>
        <w:t>/2</w:t>
      </w:r>
      <w:r>
        <w:rPr>
          <w:rFonts w:hint="eastAsia"/>
        </w:rPr>
        <w:t>1</w:t>
      </w:r>
      <w:r>
        <w:t>.2%=0.</w:t>
      </w:r>
      <w:r>
        <w:rPr>
          <w:rFonts w:hint="eastAsia"/>
        </w:rPr>
        <w:t>1936</w:t>
      </w:r>
      <w:r>
        <w:t>g;</w:t>
      </w:r>
    </w:p>
    <w:p w:rsidR="00E87AEA" w:rsidRDefault="006A25F0">
      <w:pPr>
        <w:pStyle w:val="affd"/>
      </w:pPr>
      <w:r>
        <w:t>4.</w:t>
      </w:r>
      <w:r>
        <w:t>根据试样中</w:t>
      </w:r>
      <w:r>
        <w:t>K</w:t>
      </w:r>
      <w:r>
        <w:rPr>
          <w:vertAlign w:val="subscript"/>
        </w:rPr>
        <w:t>2</w:t>
      </w:r>
      <w:r>
        <w:t>O</w:t>
      </w:r>
      <w:r>
        <w:t>含量</w:t>
      </w:r>
      <w:r>
        <w:t>15%</w:t>
      </w:r>
      <w:r>
        <w:t>计算出</w:t>
      </w:r>
      <w:r>
        <w:rPr>
          <w:rFonts w:hint="eastAsia"/>
        </w:rPr>
        <w:t>硫酸</w:t>
      </w:r>
      <w:r>
        <w:t>钾（分析纯，其</w:t>
      </w:r>
      <w:r>
        <w:t>K</w:t>
      </w:r>
      <w:r>
        <w:rPr>
          <w:vertAlign w:val="subscript"/>
        </w:rPr>
        <w:t>2</w:t>
      </w:r>
      <w:r>
        <w:t>O</w:t>
      </w:r>
      <w:r>
        <w:t>含量为</w:t>
      </w:r>
      <w:r>
        <w:rPr>
          <w:rFonts w:hint="eastAsia"/>
        </w:rPr>
        <w:t>54.07</w:t>
      </w:r>
      <w:r>
        <w:t>%</w:t>
      </w:r>
      <w:r>
        <w:t>）的称样量为</w:t>
      </w:r>
      <w:r>
        <w:t>1</w:t>
      </w:r>
      <w:r>
        <w:t>×</w:t>
      </w:r>
      <w:r>
        <w:t>15%/</w:t>
      </w:r>
      <w:r>
        <w:rPr>
          <w:rFonts w:hint="eastAsia"/>
        </w:rPr>
        <w:t>54.07</w:t>
      </w:r>
      <w:r>
        <w:t>%=</w:t>
      </w:r>
      <w:r>
        <w:rPr>
          <w:rFonts w:hint="eastAsia"/>
        </w:rPr>
        <w:t>0.2774</w:t>
      </w:r>
      <w:r>
        <w:t>g</w:t>
      </w:r>
      <w:r>
        <w:t>。</w:t>
      </w:r>
    </w:p>
    <w:p w:rsidR="00E87AEA" w:rsidRDefault="006A25F0">
      <w:pPr>
        <w:pStyle w:val="affd"/>
      </w:pPr>
      <w:r>
        <w:rPr>
          <w:rFonts w:hint="eastAsia"/>
        </w:rPr>
        <w:t>5.</w:t>
      </w:r>
      <w:r>
        <w:rPr>
          <w:rFonts w:hint="eastAsia"/>
        </w:rPr>
        <w:t>不足</w:t>
      </w:r>
      <w:r>
        <w:rPr>
          <w:rFonts w:hint="eastAsia"/>
        </w:rPr>
        <w:t>1g</w:t>
      </w:r>
      <w:r>
        <w:rPr>
          <w:rFonts w:hint="eastAsia"/>
        </w:rPr>
        <w:t>的重量使用</w:t>
      </w:r>
      <w:r>
        <w:rPr>
          <w:rFonts w:hint="eastAsia"/>
        </w:rPr>
        <w:t>SiO</w:t>
      </w:r>
      <w:r>
        <w:rPr>
          <w:rFonts w:hint="eastAsia"/>
          <w:vertAlign w:val="subscript"/>
        </w:rPr>
        <w:t>2</w:t>
      </w:r>
      <w:r>
        <w:rPr>
          <w:rFonts w:hint="eastAsia"/>
        </w:rPr>
        <w:t>（分析纯）补齐。</w:t>
      </w:r>
    </w:p>
    <w:p w:rsidR="00E87AEA" w:rsidRDefault="006A25F0">
      <w:pPr>
        <w:pStyle w:val="af9"/>
        <w:spacing w:before="312" w:after="312"/>
      </w:pPr>
      <w:r>
        <w:rPr>
          <w:rFonts w:hint="eastAsia"/>
        </w:rPr>
        <w:t>磷酸二铵对照肥料称取方法</w:t>
      </w:r>
    </w:p>
    <w:p w:rsidR="00E87AEA" w:rsidRDefault="006A25F0">
      <w:pPr>
        <w:pStyle w:val="affd"/>
      </w:pPr>
      <w:r>
        <w:t>以</w:t>
      </w:r>
      <w:r>
        <w:t xml:space="preserve">1.000g </w:t>
      </w:r>
      <w:r>
        <w:rPr>
          <w:rFonts w:hint="eastAsia"/>
        </w:rPr>
        <w:t>60%</w:t>
      </w:r>
      <w:r>
        <w:rPr>
          <w:rFonts w:hint="eastAsia"/>
        </w:rPr>
        <w:t>（</w:t>
      </w:r>
      <w:r>
        <w:rPr>
          <w:rFonts w:hint="eastAsia"/>
        </w:rPr>
        <w:t>16-44-0</w:t>
      </w:r>
      <w:r>
        <w:rPr>
          <w:rFonts w:hint="eastAsia"/>
        </w:rPr>
        <w:t>）</w:t>
      </w:r>
      <w:r>
        <w:t xml:space="preserve"> </w:t>
      </w:r>
      <w:r>
        <w:t>的保持性</w:t>
      </w:r>
      <w:r>
        <w:rPr>
          <w:rFonts w:hint="eastAsia"/>
        </w:rPr>
        <w:t>磷酸二铵</w:t>
      </w:r>
      <w:r>
        <w:t>为例：</w:t>
      </w:r>
    </w:p>
    <w:p w:rsidR="00E87AEA" w:rsidRDefault="00397107">
      <w:pPr>
        <w:pStyle w:val="affd"/>
      </w:pPr>
      <w:r>
        <w:rPr>
          <w:rFonts w:hint="eastAsia"/>
        </w:rPr>
        <w:t>1.</w:t>
      </w:r>
      <w:bookmarkStart w:id="34" w:name="_GoBack"/>
      <w:bookmarkEnd w:id="34"/>
      <w:r w:rsidR="006A25F0">
        <w:rPr>
          <w:rFonts w:hint="eastAsia"/>
        </w:rPr>
        <w:t>称取磷酸氢二铵（</w:t>
      </w:r>
      <w:r w:rsidR="006A25F0">
        <w:t>分析纯，其</w:t>
      </w:r>
      <w:r w:rsidR="006A25F0">
        <w:t>P</w:t>
      </w:r>
      <w:r w:rsidR="006A25F0">
        <w:rPr>
          <w:vertAlign w:val="subscript"/>
        </w:rPr>
        <w:t>2</w:t>
      </w:r>
      <w:r w:rsidR="006A25F0">
        <w:t>O</w:t>
      </w:r>
      <w:r w:rsidR="006A25F0">
        <w:rPr>
          <w:vertAlign w:val="subscript"/>
        </w:rPr>
        <w:t>5</w:t>
      </w:r>
      <w:r w:rsidR="006A25F0">
        <w:t>含量为</w:t>
      </w:r>
      <w:r w:rsidR="006A25F0">
        <w:rPr>
          <w:rFonts w:hint="eastAsia"/>
        </w:rPr>
        <w:t>53.8</w:t>
      </w:r>
      <w:r w:rsidR="006A25F0">
        <w:t>%</w:t>
      </w:r>
      <w:r w:rsidR="006A25F0">
        <w:t>、</w:t>
      </w:r>
      <w:r w:rsidR="006A25F0">
        <w:t>N</w:t>
      </w:r>
      <w:r w:rsidR="006A25F0">
        <w:t>含量为</w:t>
      </w:r>
      <w:r w:rsidR="006A25F0">
        <w:rPr>
          <w:rFonts w:hint="eastAsia"/>
        </w:rPr>
        <w:t>21.2</w:t>
      </w:r>
      <w:r w:rsidR="006A25F0">
        <w:t>%</w:t>
      </w:r>
      <w:r w:rsidR="006A25F0">
        <w:rPr>
          <w:rFonts w:hint="eastAsia"/>
        </w:rPr>
        <w:t>）称样量为</w:t>
      </w:r>
      <w:r w:rsidR="006A25F0">
        <w:rPr>
          <w:rFonts w:hint="eastAsia"/>
        </w:rPr>
        <w:t>0.6800g;</w:t>
      </w:r>
    </w:p>
    <w:p w:rsidR="00E87AEA" w:rsidRDefault="006A25F0">
      <w:pPr>
        <w:pStyle w:val="affd"/>
      </w:pPr>
      <w:r>
        <w:rPr>
          <w:rFonts w:hint="eastAsia"/>
        </w:rPr>
        <w:t>2.</w:t>
      </w:r>
      <w:r>
        <w:rPr>
          <w:rFonts w:hint="eastAsia"/>
        </w:rPr>
        <w:t>称取磷酸二氢铵（分析纯，</w:t>
      </w:r>
      <w:r>
        <w:t>其</w:t>
      </w:r>
      <w:r>
        <w:t>P</w:t>
      </w:r>
      <w:r>
        <w:rPr>
          <w:vertAlign w:val="subscript"/>
        </w:rPr>
        <w:t>2</w:t>
      </w:r>
      <w:r>
        <w:t>O</w:t>
      </w:r>
      <w:r>
        <w:rPr>
          <w:vertAlign w:val="subscript"/>
        </w:rPr>
        <w:t>5</w:t>
      </w:r>
      <w:r>
        <w:t>含量为</w:t>
      </w:r>
      <w:r>
        <w:t>61.74%</w:t>
      </w:r>
      <w:r>
        <w:t>、</w:t>
      </w:r>
      <w:r>
        <w:t>N</w:t>
      </w:r>
      <w:r>
        <w:t>含量为</w:t>
      </w:r>
      <w:r>
        <w:t>12.17%</w:t>
      </w:r>
      <w:r>
        <w:rPr>
          <w:rFonts w:hint="eastAsia"/>
        </w:rPr>
        <w:t>）称样量为</w:t>
      </w:r>
      <w:r>
        <w:rPr>
          <w:rFonts w:hint="eastAsia"/>
        </w:rPr>
        <w:t>0.1300g;</w:t>
      </w:r>
    </w:p>
    <w:p w:rsidR="00E87AEA" w:rsidRDefault="006A25F0">
      <w:pPr>
        <w:pStyle w:val="affd"/>
      </w:pPr>
      <w:r>
        <w:rPr>
          <w:rFonts w:hint="eastAsia"/>
        </w:rPr>
        <w:t>3.</w:t>
      </w:r>
      <w:r>
        <w:rPr>
          <w:rFonts w:hint="eastAsia"/>
        </w:rPr>
        <w:t>不足</w:t>
      </w:r>
      <w:r>
        <w:rPr>
          <w:rFonts w:hint="eastAsia"/>
        </w:rPr>
        <w:t>1g</w:t>
      </w:r>
      <w:r>
        <w:rPr>
          <w:rFonts w:hint="eastAsia"/>
        </w:rPr>
        <w:t>的重量使用</w:t>
      </w:r>
      <w:r>
        <w:rPr>
          <w:rFonts w:hint="eastAsia"/>
        </w:rPr>
        <w:t>SiO</w:t>
      </w:r>
      <w:r>
        <w:rPr>
          <w:rFonts w:hint="eastAsia"/>
          <w:vertAlign w:val="subscript"/>
        </w:rPr>
        <w:t>2</w:t>
      </w:r>
      <w:r>
        <w:rPr>
          <w:rFonts w:hint="eastAsia"/>
        </w:rPr>
        <w:t>（分析纯）补齐。</w:t>
      </w:r>
    </w:p>
    <w:p w:rsidR="00E87AEA" w:rsidRDefault="006A25F0">
      <w:pPr>
        <w:pStyle w:val="affffff7"/>
        <w:framePr w:wrap="around"/>
      </w:pPr>
      <w:r>
        <w:t>_________________________________</w:t>
      </w:r>
    </w:p>
    <w:sectPr w:rsidR="00E87AEA">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5F0" w:rsidRDefault="006A25F0">
      <w:r>
        <w:separator/>
      </w:r>
    </w:p>
  </w:endnote>
  <w:endnote w:type="continuationSeparator" w:id="0">
    <w:p w:rsidR="006A25F0" w:rsidRDefault="006A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AEA" w:rsidRDefault="006A25F0">
    <w:pPr>
      <w:pStyle w:val="afff6"/>
    </w:pPr>
    <w:r>
      <w:fldChar w:fldCharType="begin"/>
    </w:r>
    <w:r>
      <w:instrText xml:space="preserve"> PAGE  \* MERGEFORMAT </w:instrText>
    </w:r>
    <w:r>
      <w:fldChar w:fldCharType="separate"/>
    </w:r>
    <w:r w:rsidR="00397107">
      <w:rPr>
        <w:noProof/>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5F0" w:rsidRDefault="006A25F0">
      <w:r>
        <w:separator/>
      </w:r>
    </w:p>
  </w:footnote>
  <w:footnote w:type="continuationSeparator" w:id="0">
    <w:p w:rsidR="006A25F0" w:rsidRDefault="006A25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AEA" w:rsidRDefault="006A25F0">
    <w:pPr>
      <w:pStyle w:val="afff7"/>
      <w:wordWrap w:val="0"/>
    </w:pPr>
    <w:r>
      <w:rPr>
        <w:rFonts w:hint="eastAsia"/>
      </w:rPr>
      <w:t>HG</w:t>
    </w:r>
    <w:r>
      <w:t xml:space="preserve">/T </w:t>
    </w:r>
    <w:r>
      <w:t>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141"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start w:val="1"/>
      <w:numFmt w:val="decimal"/>
      <w:pStyle w:val="af7"/>
      <w:suff w:val="nothing"/>
      <w:lvlText w:val="表%1　"/>
      <w:lvlJc w:val="left"/>
      <w:pPr>
        <w:ind w:left="5811" w:firstLine="0"/>
      </w:pPr>
      <w:rPr>
        <w:rFonts w:ascii="黑体" w:eastAsia="黑体" w:hAnsi="Times New Roman" w:hint="eastAsia"/>
        <w:b w:val="0"/>
        <w:i w:val="0"/>
        <w:sz w:val="21"/>
      </w:rPr>
    </w:lvl>
    <w:lvl w:ilvl="1">
      <w:start w:val="1"/>
      <w:numFmt w:val="decimal"/>
      <w:lvlText w:val="%1.%2"/>
      <w:lvlJc w:val="left"/>
      <w:pPr>
        <w:tabs>
          <w:tab w:val="left" w:pos="6803"/>
        </w:tabs>
        <w:ind w:left="6803" w:hanging="567"/>
      </w:pPr>
      <w:rPr>
        <w:rFonts w:hint="eastAsia"/>
      </w:rPr>
    </w:lvl>
    <w:lvl w:ilvl="2">
      <w:start w:val="1"/>
      <w:numFmt w:val="decimal"/>
      <w:lvlText w:val="%1.%2.%3"/>
      <w:lvlJc w:val="left"/>
      <w:pPr>
        <w:tabs>
          <w:tab w:val="left" w:pos="7229"/>
        </w:tabs>
        <w:ind w:left="7229" w:hanging="567"/>
      </w:pPr>
      <w:rPr>
        <w:rFonts w:hint="eastAsia"/>
      </w:rPr>
    </w:lvl>
    <w:lvl w:ilvl="3">
      <w:start w:val="1"/>
      <w:numFmt w:val="decimal"/>
      <w:lvlText w:val="%1.%2.%3.%4"/>
      <w:lvlJc w:val="left"/>
      <w:pPr>
        <w:tabs>
          <w:tab w:val="left" w:pos="7795"/>
        </w:tabs>
        <w:ind w:left="7795" w:hanging="708"/>
      </w:pPr>
      <w:rPr>
        <w:rFonts w:hint="eastAsia"/>
      </w:rPr>
    </w:lvl>
    <w:lvl w:ilvl="4">
      <w:start w:val="1"/>
      <w:numFmt w:val="decimal"/>
      <w:lvlText w:val="%1.%2.%3.%4.%5"/>
      <w:lvlJc w:val="left"/>
      <w:pPr>
        <w:tabs>
          <w:tab w:val="left" w:pos="8362"/>
        </w:tabs>
        <w:ind w:left="8362" w:hanging="850"/>
      </w:pPr>
      <w:rPr>
        <w:rFonts w:hint="eastAsia"/>
      </w:rPr>
    </w:lvl>
    <w:lvl w:ilvl="5">
      <w:start w:val="1"/>
      <w:numFmt w:val="decimal"/>
      <w:lvlText w:val="%1.%2.%3.%4.%5.%6"/>
      <w:lvlJc w:val="left"/>
      <w:pPr>
        <w:tabs>
          <w:tab w:val="left" w:pos="9071"/>
        </w:tabs>
        <w:ind w:left="9071" w:hanging="1134"/>
      </w:pPr>
      <w:rPr>
        <w:rFonts w:hint="eastAsia"/>
      </w:rPr>
    </w:lvl>
    <w:lvl w:ilvl="6">
      <w:start w:val="1"/>
      <w:numFmt w:val="decimal"/>
      <w:lvlText w:val="%1.%2.%3.%4.%5.%6.%7"/>
      <w:lvlJc w:val="left"/>
      <w:pPr>
        <w:tabs>
          <w:tab w:val="left" w:pos="9638"/>
        </w:tabs>
        <w:ind w:left="9638" w:hanging="1276"/>
      </w:pPr>
      <w:rPr>
        <w:rFonts w:hint="eastAsia"/>
      </w:rPr>
    </w:lvl>
    <w:lvl w:ilvl="7">
      <w:start w:val="1"/>
      <w:numFmt w:val="decimal"/>
      <w:lvlText w:val="%1.%2.%3.%4.%5.%6.%7.%8"/>
      <w:lvlJc w:val="left"/>
      <w:pPr>
        <w:tabs>
          <w:tab w:val="left" w:pos="10205"/>
        </w:tabs>
        <w:ind w:left="10205" w:hanging="1418"/>
      </w:pPr>
      <w:rPr>
        <w:rFonts w:hint="eastAsia"/>
      </w:rPr>
    </w:lvl>
    <w:lvl w:ilvl="8">
      <w:start w:val="1"/>
      <w:numFmt w:val="decimal"/>
      <w:lvlText w:val="%1.%2.%3.%4.%5.%6.%7.%8.%9"/>
      <w:lvlJc w:val="left"/>
      <w:pPr>
        <w:tabs>
          <w:tab w:val="left" w:pos="10913"/>
        </w:tabs>
        <w:ind w:left="10913" w:hanging="1700"/>
      </w:pPr>
      <w:rPr>
        <w:rFonts w:hint="eastAsia"/>
      </w:rPr>
    </w:lvl>
  </w:abstractNum>
  <w:abstractNum w:abstractNumId="14">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708"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attachedTemplate r:id="rId1"/>
  <w:doNotTrackMoves/>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26EC"/>
    <w:rsid w:val="00000244"/>
    <w:rsid w:val="0000185F"/>
    <w:rsid w:val="0000586F"/>
    <w:rsid w:val="00013AEE"/>
    <w:rsid w:val="00013D86"/>
    <w:rsid w:val="00013E02"/>
    <w:rsid w:val="0002143C"/>
    <w:rsid w:val="00025A65"/>
    <w:rsid w:val="00026C31"/>
    <w:rsid w:val="00027280"/>
    <w:rsid w:val="000320A7"/>
    <w:rsid w:val="00035925"/>
    <w:rsid w:val="00054D07"/>
    <w:rsid w:val="00067CDF"/>
    <w:rsid w:val="00071167"/>
    <w:rsid w:val="00074FBE"/>
    <w:rsid w:val="00083A09"/>
    <w:rsid w:val="0009005E"/>
    <w:rsid w:val="00091740"/>
    <w:rsid w:val="00092857"/>
    <w:rsid w:val="000A20A9"/>
    <w:rsid w:val="000A48B1"/>
    <w:rsid w:val="000B3143"/>
    <w:rsid w:val="000B40E8"/>
    <w:rsid w:val="000C6B05"/>
    <w:rsid w:val="000C6DD6"/>
    <w:rsid w:val="000C73D4"/>
    <w:rsid w:val="000D3D4C"/>
    <w:rsid w:val="000D4F51"/>
    <w:rsid w:val="000D718B"/>
    <w:rsid w:val="000E0C46"/>
    <w:rsid w:val="000F030C"/>
    <w:rsid w:val="000F129C"/>
    <w:rsid w:val="001056DE"/>
    <w:rsid w:val="001124C0"/>
    <w:rsid w:val="0013175F"/>
    <w:rsid w:val="001512B4"/>
    <w:rsid w:val="001620A5"/>
    <w:rsid w:val="00164E53"/>
    <w:rsid w:val="0016699D"/>
    <w:rsid w:val="00175159"/>
    <w:rsid w:val="00176208"/>
    <w:rsid w:val="0018102F"/>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224A58"/>
    <w:rsid w:val="00234467"/>
    <w:rsid w:val="00237D8D"/>
    <w:rsid w:val="00241DA2"/>
    <w:rsid w:val="00247FEE"/>
    <w:rsid w:val="00250E7D"/>
    <w:rsid w:val="002565D5"/>
    <w:rsid w:val="002622C0"/>
    <w:rsid w:val="00265578"/>
    <w:rsid w:val="002778AE"/>
    <w:rsid w:val="0028269A"/>
    <w:rsid w:val="00283590"/>
    <w:rsid w:val="00286973"/>
    <w:rsid w:val="00294E70"/>
    <w:rsid w:val="002A1924"/>
    <w:rsid w:val="002A7420"/>
    <w:rsid w:val="002B0F12"/>
    <w:rsid w:val="002B1308"/>
    <w:rsid w:val="002B4554"/>
    <w:rsid w:val="002B601A"/>
    <w:rsid w:val="002C72D8"/>
    <w:rsid w:val="002C7C2E"/>
    <w:rsid w:val="002D11FA"/>
    <w:rsid w:val="002E0DDF"/>
    <w:rsid w:val="002E2906"/>
    <w:rsid w:val="002E5635"/>
    <w:rsid w:val="002E64C3"/>
    <w:rsid w:val="002E6A2C"/>
    <w:rsid w:val="002F1D8C"/>
    <w:rsid w:val="002F21DA"/>
    <w:rsid w:val="00301F39"/>
    <w:rsid w:val="003026EC"/>
    <w:rsid w:val="00325926"/>
    <w:rsid w:val="00327A8A"/>
    <w:rsid w:val="00336610"/>
    <w:rsid w:val="00343F73"/>
    <w:rsid w:val="00345060"/>
    <w:rsid w:val="0035323B"/>
    <w:rsid w:val="003609D2"/>
    <w:rsid w:val="00363F22"/>
    <w:rsid w:val="00375564"/>
    <w:rsid w:val="00383191"/>
    <w:rsid w:val="00386DED"/>
    <w:rsid w:val="003912E7"/>
    <w:rsid w:val="00393947"/>
    <w:rsid w:val="00397107"/>
    <w:rsid w:val="003A2275"/>
    <w:rsid w:val="003A6A4F"/>
    <w:rsid w:val="003A7088"/>
    <w:rsid w:val="003B00DF"/>
    <w:rsid w:val="003B1275"/>
    <w:rsid w:val="003B1778"/>
    <w:rsid w:val="003B4D3A"/>
    <w:rsid w:val="003B61E9"/>
    <w:rsid w:val="003C11CB"/>
    <w:rsid w:val="003C48CE"/>
    <w:rsid w:val="003C75F3"/>
    <w:rsid w:val="003C78A3"/>
    <w:rsid w:val="003E1867"/>
    <w:rsid w:val="003E5729"/>
    <w:rsid w:val="003F4EE0"/>
    <w:rsid w:val="00402153"/>
    <w:rsid w:val="00402FC1"/>
    <w:rsid w:val="00425082"/>
    <w:rsid w:val="00431DEB"/>
    <w:rsid w:val="00446B29"/>
    <w:rsid w:val="00453F9A"/>
    <w:rsid w:val="00471E91"/>
    <w:rsid w:val="00474675"/>
    <w:rsid w:val="0047470C"/>
    <w:rsid w:val="004A35F9"/>
    <w:rsid w:val="004B24C1"/>
    <w:rsid w:val="004C292F"/>
    <w:rsid w:val="00510280"/>
    <w:rsid w:val="00513D73"/>
    <w:rsid w:val="00514A43"/>
    <w:rsid w:val="005174E5"/>
    <w:rsid w:val="00522393"/>
    <w:rsid w:val="00522620"/>
    <w:rsid w:val="00525656"/>
    <w:rsid w:val="00534C02"/>
    <w:rsid w:val="0054264B"/>
    <w:rsid w:val="00543786"/>
    <w:rsid w:val="005533D7"/>
    <w:rsid w:val="005703DE"/>
    <w:rsid w:val="0058464E"/>
    <w:rsid w:val="005A01CB"/>
    <w:rsid w:val="005A58FF"/>
    <w:rsid w:val="005A5EAF"/>
    <w:rsid w:val="005A64C0"/>
    <w:rsid w:val="005B3C11"/>
    <w:rsid w:val="005C1C28"/>
    <w:rsid w:val="005C6DB5"/>
    <w:rsid w:val="005E19E7"/>
    <w:rsid w:val="0061716C"/>
    <w:rsid w:val="006243A1"/>
    <w:rsid w:val="00632E56"/>
    <w:rsid w:val="00635CBA"/>
    <w:rsid w:val="0064338B"/>
    <w:rsid w:val="00646542"/>
    <w:rsid w:val="006504F4"/>
    <w:rsid w:val="00654BC9"/>
    <w:rsid w:val="006552FD"/>
    <w:rsid w:val="00663AF3"/>
    <w:rsid w:val="0066404B"/>
    <w:rsid w:val="0066494F"/>
    <w:rsid w:val="00666B6C"/>
    <w:rsid w:val="00682682"/>
    <w:rsid w:val="00682702"/>
    <w:rsid w:val="00692368"/>
    <w:rsid w:val="006A25F0"/>
    <w:rsid w:val="006A2EBC"/>
    <w:rsid w:val="006A5EA0"/>
    <w:rsid w:val="006A783B"/>
    <w:rsid w:val="006A7B33"/>
    <w:rsid w:val="006B4E13"/>
    <w:rsid w:val="006B75DD"/>
    <w:rsid w:val="006C67E0"/>
    <w:rsid w:val="006C7ABA"/>
    <w:rsid w:val="006D0D60"/>
    <w:rsid w:val="006D1122"/>
    <w:rsid w:val="006D23FC"/>
    <w:rsid w:val="006D328B"/>
    <w:rsid w:val="006D3C00"/>
    <w:rsid w:val="006E3675"/>
    <w:rsid w:val="006E4A7F"/>
    <w:rsid w:val="00704DF6"/>
    <w:rsid w:val="0070651C"/>
    <w:rsid w:val="007132A3"/>
    <w:rsid w:val="00716421"/>
    <w:rsid w:val="00724EFB"/>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5DB3"/>
    <w:rsid w:val="0083617B"/>
    <w:rsid w:val="008371BD"/>
    <w:rsid w:val="008504A8"/>
    <w:rsid w:val="0085282E"/>
    <w:rsid w:val="00863536"/>
    <w:rsid w:val="0087198C"/>
    <w:rsid w:val="00872C1F"/>
    <w:rsid w:val="00873B42"/>
    <w:rsid w:val="008856D8"/>
    <w:rsid w:val="00892E82"/>
    <w:rsid w:val="008A03E6"/>
    <w:rsid w:val="008C0D0A"/>
    <w:rsid w:val="008C0F9C"/>
    <w:rsid w:val="008C1B58"/>
    <w:rsid w:val="008C39AE"/>
    <w:rsid w:val="008C590D"/>
    <w:rsid w:val="008E031B"/>
    <w:rsid w:val="008E7029"/>
    <w:rsid w:val="008E7EF6"/>
    <w:rsid w:val="008F1F98"/>
    <w:rsid w:val="008F6758"/>
    <w:rsid w:val="009040DD"/>
    <w:rsid w:val="00905B47"/>
    <w:rsid w:val="0091331C"/>
    <w:rsid w:val="009279DE"/>
    <w:rsid w:val="00930116"/>
    <w:rsid w:val="00932911"/>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336A"/>
    <w:rsid w:val="009E6116"/>
    <w:rsid w:val="009F426F"/>
    <w:rsid w:val="009F6405"/>
    <w:rsid w:val="00A02E43"/>
    <w:rsid w:val="00A065F9"/>
    <w:rsid w:val="00A074F6"/>
    <w:rsid w:val="00A07F34"/>
    <w:rsid w:val="00A21032"/>
    <w:rsid w:val="00A22154"/>
    <w:rsid w:val="00A25C38"/>
    <w:rsid w:val="00A36BBE"/>
    <w:rsid w:val="00A4307A"/>
    <w:rsid w:val="00A47EBB"/>
    <w:rsid w:val="00A51CDD"/>
    <w:rsid w:val="00A6730D"/>
    <w:rsid w:val="00A71625"/>
    <w:rsid w:val="00A71B9B"/>
    <w:rsid w:val="00A751C7"/>
    <w:rsid w:val="00A87844"/>
    <w:rsid w:val="00A87FC1"/>
    <w:rsid w:val="00A972BD"/>
    <w:rsid w:val="00AA038C"/>
    <w:rsid w:val="00AA7A09"/>
    <w:rsid w:val="00AB3B50"/>
    <w:rsid w:val="00AC05B1"/>
    <w:rsid w:val="00AD356C"/>
    <w:rsid w:val="00AE122A"/>
    <w:rsid w:val="00AE2914"/>
    <w:rsid w:val="00AE6D15"/>
    <w:rsid w:val="00B04182"/>
    <w:rsid w:val="00B07AE3"/>
    <w:rsid w:val="00B11430"/>
    <w:rsid w:val="00B353EB"/>
    <w:rsid w:val="00B439C4"/>
    <w:rsid w:val="00B4535E"/>
    <w:rsid w:val="00B52A8C"/>
    <w:rsid w:val="00B636A8"/>
    <w:rsid w:val="00B665C6"/>
    <w:rsid w:val="00B805AF"/>
    <w:rsid w:val="00B869EC"/>
    <w:rsid w:val="00B9397A"/>
    <w:rsid w:val="00B95603"/>
    <w:rsid w:val="00B9633D"/>
    <w:rsid w:val="00BA2EBE"/>
    <w:rsid w:val="00BB0F28"/>
    <w:rsid w:val="00BB458A"/>
    <w:rsid w:val="00BC4032"/>
    <w:rsid w:val="00BD00D3"/>
    <w:rsid w:val="00BD1659"/>
    <w:rsid w:val="00BD3AA9"/>
    <w:rsid w:val="00BD4A18"/>
    <w:rsid w:val="00BD6DB2"/>
    <w:rsid w:val="00BE11CF"/>
    <w:rsid w:val="00BE21AB"/>
    <w:rsid w:val="00BE2966"/>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7AB"/>
    <w:rsid w:val="00C65BCC"/>
    <w:rsid w:val="00C66970"/>
    <w:rsid w:val="00C8691C"/>
    <w:rsid w:val="00CA168A"/>
    <w:rsid w:val="00CA357E"/>
    <w:rsid w:val="00CA44F9"/>
    <w:rsid w:val="00CA4A69"/>
    <w:rsid w:val="00CC3E0C"/>
    <w:rsid w:val="00CC58D3"/>
    <w:rsid w:val="00CC784D"/>
    <w:rsid w:val="00D0337B"/>
    <w:rsid w:val="00D04D60"/>
    <w:rsid w:val="00D079B2"/>
    <w:rsid w:val="00D114E9"/>
    <w:rsid w:val="00D17C6E"/>
    <w:rsid w:val="00D429C6"/>
    <w:rsid w:val="00D43066"/>
    <w:rsid w:val="00D47748"/>
    <w:rsid w:val="00D54CC3"/>
    <w:rsid w:val="00D6041A"/>
    <w:rsid w:val="00D633EB"/>
    <w:rsid w:val="00D64924"/>
    <w:rsid w:val="00D82FF7"/>
    <w:rsid w:val="00D847FE"/>
    <w:rsid w:val="00D964EA"/>
    <w:rsid w:val="00D966D0"/>
    <w:rsid w:val="00DA0C59"/>
    <w:rsid w:val="00DA3991"/>
    <w:rsid w:val="00DA46B0"/>
    <w:rsid w:val="00DB7E6C"/>
    <w:rsid w:val="00DD5A29"/>
    <w:rsid w:val="00DD5D9D"/>
    <w:rsid w:val="00DE35CB"/>
    <w:rsid w:val="00DF21E9"/>
    <w:rsid w:val="00E00F14"/>
    <w:rsid w:val="00E06386"/>
    <w:rsid w:val="00E24EB4"/>
    <w:rsid w:val="00E320ED"/>
    <w:rsid w:val="00E33AFB"/>
    <w:rsid w:val="00E34218"/>
    <w:rsid w:val="00E46282"/>
    <w:rsid w:val="00E5216E"/>
    <w:rsid w:val="00E62F21"/>
    <w:rsid w:val="00E82109"/>
    <w:rsid w:val="00E82344"/>
    <w:rsid w:val="00E84C82"/>
    <w:rsid w:val="00E84D64"/>
    <w:rsid w:val="00E87408"/>
    <w:rsid w:val="00E87AEA"/>
    <w:rsid w:val="00E914C4"/>
    <w:rsid w:val="00E934F5"/>
    <w:rsid w:val="00E96961"/>
    <w:rsid w:val="00EA72EC"/>
    <w:rsid w:val="00EB11CB"/>
    <w:rsid w:val="00EB275A"/>
    <w:rsid w:val="00EB285C"/>
    <w:rsid w:val="00EB786A"/>
    <w:rsid w:val="00EC07F1"/>
    <w:rsid w:val="00EC1578"/>
    <w:rsid w:val="00EC1C72"/>
    <w:rsid w:val="00EC3CC9"/>
    <w:rsid w:val="00EC680A"/>
    <w:rsid w:val="00EE2BED"/>
    <w:rsid w:val="00EE374B"/>
    <w:rsid w:val="00F11BB5"/>
    <w:rsid w:val="00F1417B"/>
    <w:rsid w:val="00F32614"/>
    <w:rsid w:val="00F34B99"/>
    <w:rsid w:val="00F422E1"/>
    <w:rsid w:val="00F52DAB"/>
    <w:rsid w:val="00F543F0"/>
    <w:rsid w:val="00F81D29"/>
    <w:rsid w:val="00F91C4D"/>
    <w:rsid w:val="00F92FD9"/>
    <w:rsid w:val="00F96268"/>
    <w:rsid w:val="00FA5502"/>
    <w:rsid w:val="00FA6684"/>
    <w:rsid w:val="00FA731E"/>
    <w:rsid w:val="00FB2B38"/>
    <w:rsid w:val="00FC6358"/>
    <w:rsid w:val="00FC6538"/>
    <w:rsid w:val="00FD320D"/>
    <w:rsid w:val="00FE23DE"/>
    <w:rsid w:val="00FF7076"/>
    <w:rsid w:val="1DCD032A"/>
    <w:rsid w:val="22934992"/>
    <w:rsid w:val="2F2C0B9B"/>
    <w:rsid w:val="5CE30F82"/>
    <w:rsid w:val="68D04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6" w:qFormat="1"/>
    <w:lsdException w:name="index 7" w:qFormat="1"/>
    <w:lsdException w:name="index 9" w:qFormat="1"/>
    <w:lsdException w:name="toc 1" w:uiPriority="39" w:qFormat="1"/>
    <w:lsdException w:name="toc 2" w:semiHidden="1" w:qFormat="1"/>
    <w:lsdException w:name="toc 3" w:semiHidden="1"/>
    <w:lsdException w:name="toc 4" w:semiHidden="1" w:qFormat="1"/>
    <w:lsdException w:name="toc 5" w:semiHidden="1"/>
    <w:lsdException w:name="toc 6" w:semiHidden="1" w:qFormat="1"/>
    <w:lsdException w:name="toc 7" w:semiHidden="1"/>
    <w:lsdException w:name="toc 8" w:semiHidden="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qFormat="1"/>
    <w:lsdException w:name="HTML Sample" w:qFormat="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pPr>
      <w:widowControl w:val="0"/>
      <w:jc w:val="both"/>
    </w:pPr>
    <w:rPr>
      <w:kern w:val="2"/>
      <w:sz w:val="21"/>
      <w:szCs w:val="24"/>
    </w:rPr>
  </w:style>
  <w:style w:type="paragraph" w:styleId="1">
    <w:name w:val="heading 1"/>
    <w:basedOn w:val="aff2"/>
    <w:next w:val="aff2"/>
    <w:link w:val="1Char"/>
    <w:qFormat/>
    <w:pPr>
      <w:spacing w:before="100" w:beforeAutospacing="1" w:after="100" w:afterAutospacing="1"/>
      <w:jc w:val="left"/>
      <w:outlineLvl w:val="0"/>
    </w:pPr>
    <w:rPr>
      <w:rFonts w:ascii="宋体" w:hAnsi="宋体" w:hint="eastAsia"/>
      <w:b/>
      <w:kern w:val="44"/>
      <w:sz w:val="24"/>
    </w:rPr>
  </w:style>
  <w:style w:type="paragraph" w:styleId="3">
    <w:name w:val="heading 3"/>
    <w:basedOn w:val="aff2"/>
    <w:next w:val="aff2"/>
    <w:link w:val="3Char"/>
    <w:unhideWhenUsed/>
    <w:qFormat/>
    <w:pPr>
      <w:keepNext/>
      <w:keepLines/>
      <w:spacing w:before="260" w:after="260" w:line="416" w:lineRule="auto"/>
      <w:outlineLvl w:val="2"/>
    </w:pPr>
    <w:rPr>
      <w:b/>
      <w:bCs/>
      <w:sz w:val="32"/>
      <w:szCs w:val="32"/>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pPr>
      <w:tabs>
        <w:tab w:val="right" w:leader="dot" w:pos="9241"/>
      </w:tabs>
      <w:ind w:firstLineChars="500" w:firstLine="505"/>
      <w:jc w:val="left"/>
    </w:pPr>
    <w:rPr>
      <w:rFonts w:ascii="宋体"/>
      <w:szCs w:val="21"/>
    </w:rPr>
  </w:style>
  <w:style w:type="paragraph" w:styleId="8">
    <w:name w:val="index 8"/>
    <w:basedOn w:val="aff2"/>
    <w:next w:val="aff2"/>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pPr>
      <w:ind w:left="1050" w:hanging="210"/>
      <w:jc w:val="left"/>
    </w:pPr>
    <w:rPr>
      <w:rFonts w:ascii="Calibri" w:hAnsi="Calibri"/>
      <w:sz w:val="20"/>
      <w:szCs w:val="20"/>
    </w:rPr>
  </w:style>
  <w:style w:type="paragraph" w:styleId="aff7">
    <w:name w:val="Document Map"/>
    <w:basedOn w:val="aff2"/>
    <w:semiHidden/>
    <w:pPr>
      <w:shd w:val="clear" w:color="auto" w:fill="000080"/>
    </w:pPr>
  </w:style>
  <w:style w:type="paragraph" w:styleId="6">
    <w:name w:val="index 6"/>
    <w:basedOn w:val="aff2"/>
    <w:next w:val="aff2"/>
    <w:qFormat/>
    <w:pPr>
      <w:ind w:left="1260" w:hanging="210"/>
      <w:jc w:val="left"/>
    </w:pPr>
    <w:rPr>
      <w:rFonts w:ascii="Calibri" w:hAnsi="Calibri"/>
      <w:sz w:val="20"/>
      <w:szCs w:val="20"/>
    </w:rPr>
  </w:style>
  <w:style w:type="paragraph" w:styleId="4">
    <w:name w:val="index 4"/>
    <w:basedOn w:val="aff2"/>
    <w:next w:val="aff2"/>
    <w:pPr>
      <w:ind w:left="840" w:hanging="210"/>
      <w:jc w:val="left"/>
    </w:pPr>
    <w:rPr>
      <w:rFonts w:ascii="Calibri" w:hAnsi="Calibri"/>
      <w:sz w:val="20"/>
      <w:szCs w:val="20"/>
    </w:rPr>
  </w:style>
  <w:style w:type="paragraph" w:styleId="50">
    <w:name w:val="toc 5"/>
    <w:basedOn w:val="aff2"/>
    <w:next w:val="aff2"/>
    <w:semiHidden/>
    <w:pPr>
      <w:tabs>
        <w:tab w:val="right" w:leader="dot" w:pos="9241"/>
      </w:tabs>
      <w:ind w:firstLineChars="300" w:firstLine="300"/>
      <w:jc w:val="left"/>
    </w:pPr>
    <w:rPr>
      <w:rFonts w:ascii="宋体"/>
      <w:szCs w:val="21"/>
    </w:rPr>
  </w:style>
  <w:style w:type="paragraph" w:styleId="30">
    <w:name w:val="toc 3"/>
    <w:basedOn w:val="aff2"/>
    <w:next w:val="aff2"/>
    <w:semiHidden/>
    <w:pPr>
      <w:tabs>
        <w:tab w:val="right" w:leader="dot" w:pos="9241"/>
      </w:tabs>
      <w:ind w:firstLineChars="100" w:firstLine="102"/>
      <w:jc w:val="left"/>
    </w:pPr>
    <w:rPr>
      <w:rFonts w:ascii="宋体"/>
      <w:szCs w:val="21"/>
    </w:rPr>
  </w:style>
  <w:style w:type="paragraph" w:styleId="80">
    <w:name w:val="toc 8"/>
    <w:basedOn w:val="aff2"/>
    <w:next w:val="aff2"/>
    <w:semiHidden/>
    <w:pPr>
      <w:tabs>
        <w:tab w:val="right" w:leader="dot" w:pos="9241"/>
      </w:tabs>
      <w:ind w:firstLineChars="600" w:firstLine="607"/>
      <w:jc w:val="left"/>
    </w:pPr>
    <w:rPr>
      <w:rFonts w:ascii="宋体"/>
      <w:szCs w:val="21"/>
    </w:rPr>
  </w:style>
  <w:style w:type="paragraph" w:styleId="31">
    <w:name w:val="index 3"/>
    <w:basedOn w:val="aff2"/>
    <w:next w:val="aff2"/>
    <w:pPr>
      <w:ind w:left="630" w:hanging="210"/>
      <w:jc w:val="left"/>
    </w:pPr>
    <w:rPr>
      <w:rFonts w:ascii="Calibri" w:hAnsi="Calibri"/>
      <w:sz w:val="20"/>
      <w:szCs w:val="20"/>
    </w:rPr>
  </w:style>
  <w:style w:type="paragraph" w:styleId="aff8">
    <w:name w:val="endnote text"/>
    <w:basedOn w:val="aff2"/>
    <w:semiHidden/>
    <w:pPr>
      <w:snapToGrid w:val="0"/>
      <w:jc w:val="left"/>
    </w:pPr>
  </w:style>
  <w:style w:type="paragraph" w:styleId="aff9">
    <w:name w:val="Balloon Text"/>
    <w:basedOn w:val="aff2"/>
    <w:link w:val="Char"/>
    <w:rPr>
      <w:sz w:val="18"/>
      <w:szCs w:val="18"/>
    </w:rPr>
  </w:style>
  <w:style w:type="paragraph" w:styleId="affa">
    <w:name w:val="footer"/>
    <w:basedOn w:val="aff2"/>
    <w:qFormat/>
    <w:pPr>
      <w:snapToGrid w:val="0"/>
      <w:ind w:rightChars="100" w:right="210"/>
      <w:jc w:val="right"/>
    </w:pPr>
    <w:rPr>
      <w:sz w:val="18"/>
      <w:szCs w:val="18"/>
    </w:rPr>
  </w:style>
  <w:style w:type="paragraph" w:styleId="affb">
    <w:name w:val="header"/>
    <w:basedOn w:val="aff2"/>
    <w:qFormat/>
    <w:pPr>
      <w:snapToGrid w:val="0"/>
      <w:jc w:val="left"/>
    </w:pPr>
    <w:rPr>
      <w:sz w:val="18"/>
      <w:szCs w:val="18"/>
    </w:rPr>
  </w:style>
  <w:style w:type="paragraph" w:styleId="10">
    <w:name w:val="toc 1"/>
    <w:basedOn w:val="aff2"/>
    <w:next w:val="aff2"/>
    <w:uiPriority w:val="39"/>
    <w:qFormat/>
    <w:pPr>
      <w:tabs>
        <w:tab w:val="right" w:leader="dot" w:pos="9241"/>
      </w:tabs>
      <w:spacing w:beforeLines="25" w:before="25" w:afterLines="25" w:after="25"/>
      <w:jc w:val="left"/>
    </w:pPr>
    <w:rPr>
      <w:rFonts w:ascii="宋体"/>
      <w:szCs w:val="21"/>
    </w:rPr>
  </w:style>
  <w:style w:type="paragraph" w:styleId="40">
    <w:name w:val="toc 4"/>
    <w:basedOn w:val="aff2"/>
    <w:next w:val="aff2"/>
    <w:semiHidden/>
    <w:qFormat/>
    <w:pPr>
      <w:tabs>
        <w:tab w:val="right" w:leader="dot" w:pos="9241"/>
      </w:tabs>
      <w:ind w:firstLineChars="200" w:firstLine="198"/>
      <w:jc w:val="left"/>
    </w:pPr>
    <w:rPr>
      <w:rFonts w:ascii="宋体"/>
      <w:szCs w:val="21"/>
    </w:rPr>
  </w:style>
  <w:style w:type="paragraph" w:styleId="affc">
    <w:name w:val="index heading"/>
    <w:basedOn w:val="aff2"/>
    <w:next w:val="11"/>
    <w:qFormat/>
    <w:pPr>
      <w:spacing w:before="120" w:after="120"/>
      <w:jc w:val="center"/>
    </w:pPr>
    <w:rPr>
      <w:rFonts w:ascii="Calibri" w:hAnsi="Calibri"/>
      <w:b/>
      <w:bCs/>
      <w:iCs/>
      <w:szCs w:val="20"/>
    </w:rPr>
  </w:style>
  <w:style w:type="paragraph" w:styleId="11">
    <w:name w:val="index 1"/>
    <w:basedOn w:val="aff2"/>
    <w:next w:val="affd"/>
    <w:qFormat/>
    <w:pPr>
      <w:tabs>
        <w:tab w:val="right" w:leader="dot" w:pos="9299"/>
      </w:tabs>
      <w:jc w:val="left"/>
    </w:pPr>
    <w:rPr>
      <w:rFonts w:ascii="宋体"/>
      <w:szCs w:val="21"/>
    </w:rPr>
  </w:style>
  <w:style w:type="paragraph" w:customStyle="1" w:styleId="affd">
    <w:name w:val="段"/>
    <w:link w:val="Char0"/>
    <w:uiPriority w:val="99"/>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1"/>
      </w:numPr>
      <w:snapToGrid w:val="0"/>
      <w:jc w:val="left"/>
    </w:pPr>
    <w:rPr>
      <w:rFonts w:ascii="宋体"/>
      <w:sz w:val="18"/>
      <w:szCs w:val="18"/>
    </w:rPr>
  </w:style>
  <w:style w:type="paragraph" w:styleId="60">
    <w:name w:val="toc 6"/>
    <w:basedOn w:val="aff2"/>
    <w:next w:val="aff2"/>
    <w:semiHidden/>
    <w:qFormat/>
    <w:pPr>
      <w:tabs>
        <w:tab w:val="right" w:leader="dot" w:pos="9241"/>
      </w:tabs>
      <w:ind w:firstLineChars="400" w:firstLine="403"/>
      <w:jc w:val="left"/>
    </w:pPr>
    <w:rPr>
      <w:rFonts w:ascii="宋体"/>
      <w:szCs w:val="21"/>
    </w:rPr>
  </w:style>
  <w:style w:type="paragraph" w:styleId="70">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2">
    <w:name w:val="toc 2"/>
    <w:basedOn w:val="aff2"/>
    <w:next w:val="aff2"/>
    <w:semiHidden/>
    <w:qFormat/>
    <w:pPr>
      <w:tabs>
        <w:tab w:val="right" w:leader="dot" w:pos="9241"/>
      </w:tabs>
    </w:pPr>
    <w:rPr>
      <w:rFonts w:ascii="宋体"/>
      <w:szCs w:val="21"/>
    </w:rPr>
  </w:style>
  <w:style w:type="paragraph" w:styleId="90">
    <w:name w:val="toc 9"/>
    <w:basedOn w:val="aff2"/>
    <w:next w:val="aff2"/>
    <w:semiHidden/>
    <w:qFormat/>
    <w:pPr>
      <w:ind w:left="1470"/>
      <w:jc w:val="left"/>
    </w:pPr>
    <w:rPr>
      <w:sz w:val="20"/>
      <w:szCs w:val="20"/>
    </w:rPr>
  </w:style>
  <w:style w:type="paragraph" w:styleId="affe">
    <w:name w:val="Normal (Web)"/>
    <w:basedOn w:val="aff2"/>
    <w:qFormat/>
    <w:rPr>
      <w:sz w:val="24"/>
    </w:rPr>
  </w:style>
  <w:style w:type="paragraph" w:styleId="20">
    <w:name w:val="index 2"/>
    <w:basedOn w:val="aff2"/>
    <w:next w:val="aff2"/>
    <w:qFormat/>
    <w:pPr>
      <w:ind w:left="420" w:hanging="210"/>
      <w:jc w:val="left"/>
    </w:pPr>
    <w:rPr>
      <w:rFonts w:ascii="Calibri" w:hAnsi="Calibri"/>
      <w:sz w:val="20"/>
      <w:szCs w:val="20"/>
    </w:rPr>
  </w:style>
  <w:style w:type="character" w:styleId="afff">
    <w:name w:val="endnote reference"/>
    <w:semiHidden/>
    <w:qFormat/>
    <w:rPr>
      <w:vertAlign w:val="superscript"/>
    </w:rPr>
  </w:style>
  <w:style w:type="character" w:styleId="afff0">
    <w:name w:val="page number"/>
    <w:qFormat/>
    <w:rPr>
      <w:rFonts w:ascii="Times New Roman" w:eastAsia="宋体" w:hAnsi="Times New Roman"/>
      <w:sz w:val="18"/>
    </w:rPr>
  </w:style>
  <w:style w:type="character" w:styleId="afff1">
    <w:name w:val="FollowedHyperlink"/>
    <w:qFormat/>
    <w:rPr>
      <w:color w:val="800080"/>
      <w:u w:val="single"/>
    </w:rPr>
  </w:style>
  <w:style w:type="character" w:styleId="afff2">
    <w:name w:val="Emphasis"/>
    <w:uiPriority w:val="20"/>
    <w:qFormat/>
    <w:rPr>
      <w:i/>
      <w:iCs/>
    </w:rPr>
  </w:style>
  <w:style w:type="character" w:styleId="afff3">
    <w:name w:val="Hyperlink"/>
    <w:uiPriority w:val="99"/>
    <w:qFormat/>
    <w:rPr>
      <w:color w:val="0000FF"/>
      <w:spacing w:val="0"/>
      <w:w w:val="100"/>
      <w:szCs w:val="21"/>
      <w:u w:val="single"/>
    </w:rPr>
  </w:style>
  <w:style w:type="character" w:styleId="afff4">
    <w:name w:val="footnote reference"/>
    <w:semiHidden/>
    <w:qFormat/>
    <w:rPr>
      <w:vertAlign w:val="superscript"/>
    </w:rPr>
  </w:style>
  <w:style w:type="character" w:styleId="HTML">
    <w:name w:val="HTML Sample"/>
    <w:qFormat/>
    <w:rPr>
      <w:rFonts w:ascii="Courier New" w:eastAsia="Courier New" w:hAnsi="Courier New" w:cs="Courier New" w:hint="default"/>
    </w:rPr>
  </w:style>
  <w:style w:type="table" w:styleId="afff5">
    <w:name w:val="Table Grid"/>
    <w:basedOn w:val="aff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0">
    <w:name w:val="段 Char"/>
    <w:link w:val="affd"/>
    <w:uiPriority w:val="99"/>
    <w:qFormat/>
    <w:rPr>
      <w:rFonts w:ascii="宋体"/>
      <w:sz w:val="21"/>
      <w:lang w:val="en-US" w:eastAsia="zh-CN" w:bidi="ar-SA"/>
    </w:rPr>
  </w:style>
  <w:style w:type="paragraph" w:customStyle="1" w:styleId="a5">
    <w:name w:val="一级条标题"/>
    <w:next w:val="affd"/>
    <w:qFormat/>
    <w:pPr>
      <w:numPr>
        <w:ilvl w:val="1"/>
        <w:numId w:val="2"/>
      </w:numPr>
      <w:spacing w:beforeLines="50" w:before="156" w:afterLines="50" w:after="156"/>
      <w:outlineLvl w:val="2"/>
    </w:pPr>
    <w:rPr>
      <w:rFonts w:ascii="黑体" w:eastAsia="黑体"/>
      <w:sz w:val="21"/>
      <w:szCs w:val="21"/>
    </w:rPr>
  </w:style>
  <w:style w:type="paragraph" w:customStyle="1" w:styleId="afff6">
    <w:name w:val="标准书脚_奇数页"/>
    <w:pPr>
      <w:spacing w:before="120"/>
      <w:ind w:right="198"/>
      <w:jc w:val="right"/>
    </w:pPr>
    <w:rPr>
      <w:rFonts w:ascii="宋体"/>
      <w:sz w:val="18"/>
      <w:szCs w:val="18"/>
    </w:rPr>
  </w:style>
  <w:style w:type="paragraph" w:customStyle="1" w:styleId="afff7">
    <w:name w:val="标准书眉_奇数页"/>
    <w:next w:val="aff2"/>
    <w:pPr>
      <w:tabs>
        <w:tab w:val="center" w:pos="4154"/>
        <w:tab w:val="right" w:pos="8306"/>
      </w:tabs>
      <w:spacing w:after="220"/>
      <w:jc w:val="right"/>
    </w:pPr>
    <w:rPr>
      <w:rFonts w:ascii="黑体" w:eastAsia="黑体"/>
      <w:sz w:val="21"/>
      <w:szCs w:val="21"/>
    </w:rPr>
  </w:style>
  <w:style w:type="paragraph" w:customStyle="1" w:styleId="a4">
    <w:name w:val="章标题"/>
    <w:next w:val="affd"/>
    <w:qFormat/>
    <w:pPr>
      <w:numPr>
        <w:numId w:val="2"/>
      </w:numPr>
      <w:spacing w:beforeLines="100" w:before="312" w:afterLines="100" w:after="312"/>
      <w:jc w:val="both"/>
      <w:outlineLvl w:val="1"/>
    </w:pPr>
    <w:rPr>
      <w:rFonts w:ascii="黑体" w:eastAsia="黑体"/>
      <w:sz w:val="21"/>
    </w:rPr>
  </w:style>
  <w:style w:type="paragraph" w:customStyle="1" w:styleId="a6">
    <w:name w:val="二级条标题"/>
    <w:basedOn w:val="a5"/>
    <w:next w:val="affd"/>
    <w:qFormat/>
    <w:pPr>
      <w:numPr>
        <w:ilvl w:val="2"/>
      </w:numPr>
      <w:spacing w:before="50" w:after="50"/>
      <w:outlineLvl w:val="3"/>
    </w:pPr>
  </w:style>
  <w:style w:type="paragraph" w:customStyle="1" w:styleId="21">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pPr>
      <w:widowControl w:val="0"/>
      <w:numPr>
        <w:numId w:val="3"/>
      </w:numPr>
      <w:jc w:val="both"/>
    </w:pPr>
    <w:rPr>
      <w:rFonts w:ascii="宋体"/>
      <w:sz w:val="21"/>
    </w:rPr>
  </w:style>
  <w:style w:type="paragraph" w:customStyle="1" w:styleId="ad">
    <w:name w:val="列项●（二级）"/>
    <w:pPr>
      <w:numPr>
        <w:ilvl w:val="1"/>
        <w:numId w:val="3"/>
      </w:numPr>
      <w:tabs>
        <w:tab w:val="left" w:pos="840"/>
      </w:tabs>
      <w:jc w:val="both"/>
    </w:pPr>
    <w:rPr>
      <w:rFonts w:ascii="宋体"/>
      <w:sz w:val="21"/>
    </w:rPr>
  </w:style>
  <w:style w:type="paragraph" w:customStyle="1" w:styleId="afff8">
    <w:name w:val="目次、标准名称标题"/>
    <w:basedOn w:val="aff2"/>
    <w:next w:val="affd"/>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d"/>
    <w:pPr>
      <w:numPr>
        <w:ilvl w:val="3"/>
      </w:numPr>
      <w:outlineLvl w:val="4"/>
    </w:pPr>
  </w:style>
  <w:style w:type="paragraph" w:customStyle="1" w:styleId="a1">
    <w:name w:val="示例"/>
    <w:next w:val="afff9"/>
    <w:pPr>
      <w:widowControl w:val="0"/>
      <w:numPr>
        <w:numId w:val="4"/>
      </w:numPr>
      <w:jc w:val="both"/>
    </w:pPr>
    <w:rPr>
      <w:rFonts w:ascii="宋体"/>
      <w:sz w:val="18"/>
      <w:szCs w:val="18"/>
    </w:rPr>
  </w:style>
  <w:style w:type="paragraph" w:customStyle="1" w:styleId="afff9">
    <w:name w:val="示例内容"/>
    <w:qFormat/>
    <w:pPr>
      <w:ind w:firstLineChars="200" w:firstLine="200"/>
    </w:pPr>
    <w:rPr>
      <w:rFonts w:ascii="宋体"/>
      <w:sz w:val="18"/>
      <w:szCs w:val="18"/>
    </w:rPr>
  </w:style>
  <w:style w:type="paragraph" w:customStyle="1" w:styleId="af1">
    <w:name w:val="数字编号列项（二级）"/>
    <w:pPr>
      <w:numPr>
        <w:ilvl w:val="1"/>
        <w:numId w:val="5"/>
      </w:numPr>
      <w:jc w:val="both"/>
    </w:pPr>
    <w:rPr>
      <w:rFonts w:ascii="宋体"/>
      <w:sz w:val="21"/>
    </w:rPr>
  </w:style>
  <w:style w:type="paragraph" w:customStyle="1" w:styleId="a8">
    <w:name w:val="四级条标题"/>
    <w:basedOn w:val="a7"/>
    <w:next w:val="affd"/>
    <w:qFormat/>
    <w:pPr>
      <w:numPr>
        <w:ilvl w:val="4"/>
      </w:numPr>
      <w:outlineLvl w:val="5"/>
    </w:pPr>
  </w:style>
  <w:style w:type="paragraph" w:customStyle="1" w:styleId="a9">
    <w:name w:val="五级条标题"/>
    <w:basedOn w:val="a8"/>
    <w:next w:val="affd"/>
    <w:pPr>
      <w:numPr>
        <w:ilvl w:val="5"/>
      </w:numPr>
      <w:outlineLvl w:val="6"/>
    </w:pPr>
  </w:style>
  <w:style w:type="paragraph" w:customStyle="1" w:styleId="aff1">
    <w:name w:val="注："/>
    <w:next w:val="affd"/>
    <w:qFormat/>
    <w:pPr>
      <w:widowControl w:val="0"/>
      <w:numPr>
        <w:numId w:val="6"/>
      </w:numPr>
      <w:autoSpaceDE w:val="0"/>
      <w:autoSpaceDN w:val="0"/>
      <w:jc w:val="both"/>
    </w:pPr>
    <w:rPr>
      <w:rFonts w:ascii="宋体"/>
      <w:sz w:val="18"/>
      <w:szCs w:val="18"/>
    </w:rPr>
  </w:style>
  <w:style w:type="paragraph" w:customStyle="1" w:styleId="a">
    <w:name w:val="注×："/>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e">
    <w:name w:val="列项◆（三级）"/>
    <w:basedOn w:val="aff2"/>
    <w:pPr>
      <w:numPr>
        <w:ilvl w:val="2"/>
        <w:numId w:val="3"/>
      </w:numPr>
    </w:pPr>
    <w:rPr>
      <w:rFonts w:ascii="宋体"/>
      <w:szCs w:val="21"/>
    </w:rPr>
  </w:style>
  <w:style w:type="paragraph" w:customStyle="1" w:styleId="af2">
    <w:name w:val="编号列项（三级）"/>
    <w:pPr>
      <w:numPr>
        <w:ilvl w:val="2"/>
        <w:numId w:val="5"/>
      </w:numPr>
    </w:pPr>
    <w:rPr>
      <w:rFonts w:ascii="宋体"/>
      <w:sz w:val="21"/>
    </w:rPr>
  </w:style>
  <w:style w:type="paragraph" w:customStyle="1" w:styleId="af3">
    <w:name w:val="示例×："/>
    <w:basedOn w:val="a4"/>
    <w:qFormat/>
    <w:pPr>
      <w:numPr>
        <w:numId w:val="8"/>
      </w:numPr>
      <w:spacing w:beforeLines="0" w:before="0" w:afterLines="0" w:after="0"/>
      <w:outlineLvl w:val="9"/>
    </w:pPr>
    <w:rPr>
      <w:rFonts w:ascii="宋体" w:eastAsia="宋体"/>
      <w:sz w:val="18"/>
      <w:szCs w:val="18"/>
    </w:rPr>
  </w:style>
  <w:style w:type="paragraph" w:customStyle="1" w:styleId="afffa">
    <w:name w:val="二级无"/>
    <w:basedOn w:val="a6"/>
    <w:qFormat/>
    <w:pPr>
      <w:spacing w:beforeLines="0" w:before="0" w:afterLines="0" w:after="0"/>
    </w:pPr>
    <w:rPr>
      <w:rFonts w:ascii="宋体" w:eastAsia="宋体"/>
    </w:rPr>
  </w:style>
  <w:style w:type="paragraph" w:customStyle="1" w:styleId="afffb">
    <w:name w:val="注：（正文）"/>
    <w:basedOn w:val="aff1"/>
    <w:next w:val="affd"/>
  </w:style>
  <w:style w:type="paragraph" w:customStyle="1" w:styleId="a3">
    <w:name w:val="注×：（正文）"/>
    <w:qFormat/>
    <w:pPr>
      <w:numPr>
        <w:numId w:val="9"/>
      </w:numPr>
      <w:jc w:val="both"/>
    </w:pPr>
    <w:rPr>
      <w:rFonts w:ascii="宋体"/>
      <w:sz w:val="18"/>
      <w:szCs w:val="18"/>
    </w:rPr>
  </w:style>
  <w:style w:type="paragraph" w:customStyle="1" w:styleId="afffc">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d">
    <w:name w:val="标准称谓"/>
    <w:next w:val="aff2"/>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e">
    <w:name w:val="标准书脚_偶数页"/>
    <w:pPr>
      <w:spacing w:before="120"/>
      <w:ind w:left="221"/>
    </w:pPr>
    <w:rPr>
      <w:rFonts w:ascii="宋体"/>
      <w:sz w:val="18"/>
      <w:szCs w:val="18"/>
    </w:rPr>
  </w:style>
  <w:style w:type="paragraph" w:customStyle="1" w:styleId="affff">
    <w:name w:val="标准书眉_偶数页"/>
    <w:basedOn w:val="afff7"/>
    <w:next w:val="aff2"/>
    <w:pPr>
      <w:jc w:val="left"/>
    </w:pPr>
  </w:style>
  <w:style w:type="paragraph" w:customStyle="1" w:styleId="affff0">
    <w:name w:val="标准书眉一"/>
    <w:pPr>
      <w:jc w:val="both"/>
    </w:pPr>
  </w:style>
  <w:style w:type="paragraph" w:customStyle="1" w:styleId="affff1">
    <w:name w:val="参考文献"/>
    <w:basedOn w:val="aff2"/>
    <w:next w:val="affd"/>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2">
    <w:name w:val="参考文献、索引标题"/>
    <w:basedOn w:val="aff2"/>
    <w:next w:val="affd"/>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3">
    <w:name w:val="发布"/>
    <w:rPr>
      <w:rFonts w:ascii="黑体" w:eastAsia="黑体"/>
      <w:spacing w:val="85"/>
      <w:w w:val="100"/>
      <w:position w:val="3"/>
      <w:sz w:val="28"/>
      <w:szCs w:val="28"/>
    </w:rPr>
  </w:style>
  <w:style w:type="paragraph" w:customStyle="1" w:styleId="affff4">
    <w:name w:val="发布部门"/>
    <w:next w:val="affd"/>
    <w:pPr>
      <w:framePr w:w="7938" w:h="1134" w:hRule="exact" w:hSpace="125" w:vSpace="181" w:wrap="around" w:vAnchor="page" w:hAnchor="page" w:x="2150" w:y="14630" w:anchorLock="1"/>
      <w:jc w:val="center"/>
    </w:pPr>
    <w:rPr>
      <w:rFonts w:ascii="宋体"/>
      <w:b/>
      <w:spacing w:val="20"/>
      <w:w w:val="135"/>
      <w:sz w:val="28"/>
    </w:rPr>
  </w:style>
  <w:style w:type="paragraph" w:customStyle="1" w:styleId="affff5">
    <w:name w:val="发布日期"/>
    <w:pPr>
      <w:framePr w:w="3997" w:h="471" w:hRule="exact" w:vSpace="181" w:wrap="around" w:hAnchor="page" w:x="7089" w:y="14097" w:anchorLock="1"/>
    </w:pPr>
    <w:rPr>
      <w:rFonts w:eastAsia="黑体"/>
      <w:sz w:val="28"/>
    </w:rPr>
  </w:style>
  <w:style w:type="paragraph" w:customStyle="1" w:styleId="affff6">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affff7">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封面标准英文名称"/>
    <w:basedOn w:val="affff7"/>
    <w:pPr>
      <w:framePr w:wrap="around"/>
      <w:spacing w:before="370" w:line="400" w:lineRule="exact"/>
    </w:pPr>
    <w:rPr>
      <w:rFonts w:ascii="Times New Roman"/>
      <w:sz w:val="28"/>
      <w:szCs w:val="28"/>
    </w:rPr>
  </w:style>
  <w:style w:type="paragraph" w:customStyle="1" w:styleId="affff9">
    <w:name w:val="封面一致性程度标识"/>
    <w:basedOn w:val="affff8"/>
    <w:pPr>
      <w:framePr w:wrap="around"/>
      <w:spacing w:before="440"/>
    </w:pPr>
    <w:rPr>
      <w:rFonts w:ascii="宋体" w:eastAsia="宋体"/>
    </w:rPr>
  </w:style>
  <w:style w:type="paragraph" w:customStyle="1" w:styleId="affffa">
    <w:name w:val="封面标准文稿类别"/>
    <w:basedOn w:val="affff9"/>
    <w:pPr>
      <w:framePr w:wrap="around"/>
      <w:spacing w:after="160" w:line="240" w:lineRule="auto"/>
    </w:pPr>
    <w:rPr>
      <w:sz w:val="24"/>
    </w:rPr>
  </w:style>
  <w:style w:type="paragraph" w:customStyle="1" w:styleId="affffb">
    <w:name w:val="封面标准文稿编辑信息"/>
    <w:basedOn w:val="affffa"/>
    <w:pPr>
      <w:framePr w:wrap="around"/>
      <w:spacing w:before="180" w:line="180" w:lineRule="exact"/>
    </w:pPr>
    <w:rPr>
      <w:sz w:val="21"/>
    </w:rPr>
  </w:style>
  <w:style w:type="paragraph" w:customStyle="1" w:styleId="affffc">
    <w:name w:val="封面正文"/>
    <w:pPr>
      <w:jc w:val="both"/>
    </w:pPr>
  </w:style>
  <w:style w:type="paragraph" w:customStyle="1" w:styleId="af8">
    <w:name w:val="附录标识"/>
    <w:basedOn w:val="aff2"/>
    <w:next w:val="affd"/>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d">
    <w:name w:val="附录标题"/>
    <w:basedOn w:val="affd"/>
    <w:next w:val="affd"/>
    <w:pPr>
      <w:ind w:firstLineChars="0" w:firstLine="0"/>
      <w:jc w:val="center"/>
    </w:pPr>
    <w:rPr>
      <w:rFonts w:ascii="黑体" w:eastAsia="黑体"/>
    </w:rPr>
  </w:style>
  <w:style w:type="paragraph" w:customStyle="1" w:styleId="af5">
    <w:name w:val="附录表标号"/>
    <w:basedOn w:val="aff2"/>
    <w:next w:val="affd"/>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d"/>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d"/>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e">
    <w:name w:val="附录二级无"/>
    <w:basedOn w:val="afb"/>
    <w:pPr>
      <w:tabs>
        <w:tab w:val="clear" w:pos="360"/>
      </w:tabs>
      <w:spacing w:beforeLines="0" w:before="0" w:afterLines="0" w:after="0"/>
    </w:pPr>
    <w:rPr>
      <w:rFonts w:ascii="宋体" w:eastAsia="宋体"/>
      <w:szCs w:val="21"/>
    </w:rPr>
  </w:style>
  <w:style w:type="paragraph" w:customStyle="1" w:styleId="afffff">
    <w:name w:val="附录公式"/>
    <w:basedOn w:val="affd"/>
    <w:next w:val="affd"/>
    <w:link w:val="Char1"/>
    <w:qFormat/>
  </w:style>
  <w:style w:type="character" w:customStyle="1" w:styleId="Char1">
    <w:name w:val="附录公式 Char"/>
    <w:link w:val="afffff"/>
    <w:rPr>
      <w:rFonts w:ascii="宋体"/>
      <w:sz w:val="21"/>
      <w:lang w:val="en-US" w:eastAsia="zh-CN" w:bidi="ar-SA"/>
    </w:rPr>
  </w:style>
  <w:style w:type="paragraph" w:customStyle="1" w:styleId="afffff0">
    <w:name w:val="附录公式编号制表符"/>
    <w:basedOn w:val="aff2"/>
    <w:next w:val="affd"/>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d"/>
    <w:pPr>
      <w:numPr>
        <w:ilvl w:val="4"/>
      </w:numPr>
      <w:outlineLvl w:val="4"/>
    </w:pPr>
  </w:style>
  <w:style w:type="paragraph" w:customStyle="1" w:styleId="afffff1">
    <w:name w:val="附录三级无"/>
    <w:basedOn w:val="afc"/>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12"/>
      </w:numPr>
    </w:pPr>
    <w:rPr>
      <w:rFonts w:ascii="宋体"/>
      <w:sz w:val="21"/>
    </w:rPr>
  </w:style>
  <w:style w:type="paragraph" w:customStyle="1" w:styleId="afd">
    <w:name w:val="附录四级条标题"/>
    <w:basedOn w:val="afc"/>
    <w:next w:val="affd"/>
    <w:pPr>
      <w:numPr>
        <w:ilvl w:val="5"/>
      </w:numPr>
      <w:outlineLvl w:val="5"/>
    </w:pPr>
  </w:style>
  <w:style w:type="paragraph" w:customStyle="1" w:styleId="afffff2">
    <w:name w:val="附录四级无"/>
    <w:basedOn w:val="afd"/>
    <w:pPr>
      <w:tabs>
        <w:tab w:val="clear" w:pos="360"/>
      </w:tabs>
      <w:spacing w:beforeLines="0" w:before="0" w:afterLines="0" w:after="0"/>
    </w:pPr>
    <w:rPr>
      <w:rFonts w:ascii="宋体" w:eastAsia="宋体"/>
      <w:szCs w:val="21"/>
    </w:rPr>
  </w:style>
  <w:style w:type="paragraph" w:customStyle="1" w:styleId="aa">
    <w:name w:val="附录图标号"/>
    <w:basedOn w:val="aff2"/>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d"/>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d"/>
    <w:pPr>
      <w:numPr>
        <w:ilvl w:val="6"/>
      </w:numPr>
      <w:outlineLvl w:val="6"/>
    </w:pPr>
  </w:style>
  <w:style w:type="paragraph" w:customStyle="1" w:styleId="afffff3">
    <w:name w:val="附录五级无"/>
    <w:basedOn w:val="afe"/>
    <w:pPr>
      <w:tabs>
        <w:tab w:val="clear" w:pos="360"/>
      </w:tabs>
      <w:spacing w:beforeLines="0" w:before="0" w:afterLines="0" w:after="0"/>
    </w:pPr>
    <w:rPr>
      <w:rFonts w:ascii="宋体" w:eastAsia="宋体"/>
      <w:szCs w:val="21"/>
    </w:rPr>
  </w:style>
  <w:style w:type="paragraph" w:customStyle="1" w:styleId="af9">
    <w:name w:val="附录章标题"/>
    <w:next w:val="affd"/>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d"/>
    <w:pPr>
      <w:numPr>
        <w:ilvl w:val="2"/>
      </w:numPr>
      <w:autoSpaceDN w:val="0"/>
      <w:spacing w:beforeLines="50" w:before="50" w:afterLines="50" w:after="50"/>
      <w:outlineLvl w:val="2"/>
    </w:pPr>
  </w:style>
  <w:style w:type="paragraph" w:customStyle="1" w:styleId="afffff4">
    <w:name w:val="附录一级无"/>
    <w:basedOn w:val="afa"/>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2"/>
      </w:numPr>
    </w:pPr>
    <w:rPr>
      <w:rFonts w:ascii="宋体"/>
      <w:sz w:val="21"/>
    </w:rPr>
  </w:style>
  <w:style w:type="paragraph" w:customStyle="1" w:styleId="afffff5">
    <w:name w:val="列项说明"/>
    <w:basedOn w:val="aff2"/>
    <w:pPr>
      <w:adjustRightInd w:val="0"/>
      <w:spacing w:line="320" w:lineRule="exact"/>
      <w:ind w:leftChars="200" w:left="400" w:hangingChars="200" w:hanging="200"/>
      <w:jc w:val="left"/>
      <w:textAlignment w:val="baseline"/>
    </w:pPr>
    <w:rPr>
      <w:rFonts w:ascii="宋体"/>
      <w:kern w:val="0"/>
      <w:szCs w:val="20"/>
    </w:rPr>
  </w:style>
  <w:style w:type="paragraph" w:customStyle="1" w:styleId="afffff6">
    <w:name w:val="列项说明数字编号"/>
    <w:pPr>
      <w:ind w:leftChars="400" w:left="600" w:hangingChars="200" w:hanging="200"/>
    </w:pPr>
    <w:rPr>
      <w:rFonts w:ascii="宋体"/>
      <w:sz w:val="21"/>
    </w:rPr>
  </w:style>
  <w:style w:type="paragraph" w:customStyle="1" w:styleId="afffff7">
    <w:name w:val="目次、索引正文"/>
    <w:pPr>
      <w:spacing w:line="320" w:lineRule="exact"/>
      <w:jc w:val="both"/>
    </w:pPr>
    <w:rPr>
      <w:rFonts w:ascii="宋体"/>
      <w:sz w:val="21"/>
    </w:rPr>
  </w:style>
  <w:style w:type="paragraph" w:customStyle="1" w:styleId="afffff8">
    <w:name w:val="其他标准标志"/>
    <w:basedOn w:val="afffc"/>
    <w:pPr>
      <w:framePr w:w="6101" w:wrap="around" w:vAnchor="page" w:hAnchor="page" w:x="4673" w:y="942"/>
    </w:pPr>
    <w:rPr>
      <w:w w:val="130"/>
    </w:rPr>
  </w:style>
  <w:style w:type="paragraph" w:customStyle="1" w:styleId="afffff9">
    <w:name w:val="其他标准称谓"/>
    <w:next w:val="aff2"/>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a">
    <w:name w:val="其他发布部门"/>
    <w:basedOn w:val="affff4"/>
    <w:pPr>
      <w:framePr w:wrap="around" w:y="15310"/>
      <w:spacing w:line="0" w:lineRule="atLeast"/>
    </w:pPr>
    <w:rPr>
      <w:rFonts w:ascii="黑体" w:eastAsia="黑体"/>
      <w:b w:val="0"/>
    </w:rPr>
  </w:style>
  <w:style w:type="paragraph" w:customStyle="1" w:styleId="afffffb">
    <w:name w:val="前言、引言标题"/>
    <w:next w:val="affd"/>
    <w:pPr>
      <w:keepNext/>
      <w:pageBreakBefore/>
      <w:shd w:val="clear" w:color="FFFFFF" w:fill="FFFFFF"/>
      <w:spacing w:before="640" w:after="560"/>
      <w:jc w:val="center"/>
      <w:outlineLvl w:val="0"/>
    </w:pPr>
    <w:rPr>
      <w:rFonts w:ascii="黑体" w:eastAsia="黑体"/>
      <w:sz w:val="32"/>
    </w:rPr>
  </w:style>
  <w:style w:type="paragraph" w:customStyle="1" w:styleId="afffffc">
    <w:name w:val="三级无"/>
    <w:basedOn w:val="a7"/>
    <w:pPr>
      <w:spacing w:beforeLines="0" w:before="0" w:afterLines="0" w:after="0"/>
    </w:pPr>
    <w:rPr>
      <w:rFonts w:ascii="宋体" w:eastAsia="宋体"/>
    </w:rPr>
  </w:style>
  <w:style w:type="paragraph" w:customStyle="1" w:styleId="afffffd">
    <w:name w:val="实施日期"/>
    <w:basedOn w:val="affff5"/>
    <w:pPr>
      <w:framePr w:wrap="around" w:vAnchor="page" w:hAnchor="text"/>
      <w:jc w:val="right"/>
    </w:pPr>
  </w:style>
  <w:style w:type="paragraph" w:customStyle="1" w:styleId="afffffe">
    <w:name w:val="示例后文字"/>
    <w:basedOn w:val="affd"/>
    <w:next w:val="affd"/>
    <w:qFormat/>
    <w:pPr>
      <w:ind w:firstLine="360"/>
    </w:pPr>
    <w:rPr>
      <w:sz w:val="18"/>
    </w:rPr>
  </w:style>
  <w:style w:type="paragraph" w:customStyle="1" w:styleId="a0">
    <w:name w:val="首示例"/>
    <w:next w:val="affd"/>
    <w:link w:val="Char2"/>
    <w:qFormat/>
    <w:pPr>
      <w:numPr>
        <w:numId w:val="14"/>
      </w:numPr>
      <w:tabs>
        <w:tab w:val="left" w:pos="360"/>
      </w:tabs>
      <w:ind w:firstLine="0"/>
    </w:pPr>
    <w:rPr>
      <w:rFonts w:ascii="宋体" w:hAnsi="宋体"/>
      <w:kern w:val="2"/>
      <w:sz w:val="18"/>
      <w:szCs w:val="18"/>
    </w:rPr>
  </w:style>
  <w:style w:type="character" w:customStyle="1" w:styleId="Char2">
    <w:name w:val="首示例 Char"/>
    <w:link w:val="a0"/>
    <w:rPr>
      <w:rFonts w:ascii="宋体" w:hAnsi="宋体"/>
      <w:kern w:val="2"/>
      <w:sz w:val="18"/>
      <w:szCs w:val="18"/>
      <w:lang w:val="en-US" w:eastAsia="zh-CN" w:bidi="ar-SA"/>
    </w:rPr>
  </w:style>
  <w:style w:type="paragraph" w:customStyle="1" w:styleId="affffff">
    <w:name w:val="四级无"/>
    <w:basedOn w:val="a8"/>
    <w:pPr>
      <w:spacing w:beforeLines="0" w:before="0" w:afterLines="0" w:after="0"/>
    </w:pPr>
    <w:rPr>
      <w:rFonts w:ascii="宋体" w:eastAsia="宋体"/>
    </w:rPr>
  </w:style>
  <w:style w:type="paragraph" w:customStyle="1" w:styleId="affffff0">
    <w:name w:val="条文脚注"/>
    <w:basedOn w:val="af"/>
    <w:pPr>
      <w:numPr>
        <w:numId w:val="0"/>
      </w:numPr>
      <w:jc w:val="both"/>
    </w:pPr>
  </w:style>
  <w:style w:type="paragraph" w:customStyle="1" w:styleId="affffff1">
    <w:name w:val="图标脚注说明"/>
    <w:basedOn w:val="affd"/>
    <w:pPr>
      <w:ind w:left="840" w:firstLineChars="0" w:hanging="420"/>
    </w:pPr>
    <w:rPr>
      <w:sz w:val="18"/>
      <w:szCs w:val="18"/>
    </w:rPr>
  </w:style>
  <w:style w:type="paragraph" w:customStyle="1" w:styleId="a2">
    <w:name w:val="图表脚注说明"/>
    <w:basedOn w:val="aff2"/>
    <w:pPr>
      <w:numPr>
        <w:numId w:val="15"/>
      </w:numPr>
    </w:pPr>
    <w:rPr>
      <w:rFonts w:ascii="宋体"/>
      <w:sz w:val="18"/>
      <w:szCs w:val="18"/>
    </w:rPr>
  </w:style>
  <w:style w:type="paragraph" w:customStyle="1" w:styleId="affffff2">
    <w:name w:val="图的脚注"/>
    <w:next w:val="affd"/>
    <w:qFormat/>
    <w:pPr>
      <w:widowControl w:val="0"/>
      <w:ind w:leftChars="200" w:left="840" w:hangingChars="200" w:hanging="420"/>
      <w:jc w:val="both"/>
    </w:pPr>
    <w:rPr>
      <w:rFonts w:ascii="宋体"/>
      <w:sz w:val="18"/>
    </w:rPr>
  </w:style>
  <w:style w:type="paragraph" w:customStyle="1" w:styleId="affffff3">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4">
    <w:name w:val="五级无"/>
    <w:basedOn w:val="a9"/>
    <w:pPr>
      <w:spacing w:beforeLines="0" w:before="0" w:afterLines="0" w:after="0"/>
    </w:pPr>
    <w:rPr>
      <w:rFonts w:ascii="宋体" w:eastAsia="宋体"/>
    </w:rPr>
  </w:style>
  <w:style w:type="paragraph" w:customStyle="1" w:styleId="affffff5">
    <w:name w:val="一级无"/>
    <w:basedOn w:val="a5"/>
    <w:pPr>
      <w:spacing w:beforeLines="0" w:before="0" w:afterLines="0" w:after="0"/>
    </w:pPr>
    <w:rPr>
      <w:rFonts w:ascii="宋体" w:eastAsia="宋体"/>
    </w:rPr>
  </w:style>
  <w:style w:type="paragraph" w:customStyle="1" w:styleId="af7">
    <w:name w:val="正文表标题"/>
    <w:next w:val="affd"/>
    <w:pPr>
      <w:numPr>
        <w:numId w:val="16"/>
      </w:numPr>
      <w:tabs>
        <w:tab w:val="left" w:pos="360"/>
      </w:tabs>
      <w:spacing w:beforeLines="50" w:before="156" w:afterLines="50" w:after="156"/>
      <w:jc w:val="center"/>
    </w:pPr>
    <w:rPr>
      <w:rFonts w:ascii="黑体" w:eastAsia="黑体"/>
      <w:sz w:val="21"/>
    </w:rPr>
  </w:style>
  <w:style w:type="paragraph" w:customStyle="1" w:styleId="affffff6">
    <w:name w:val="正文公式编号制表符"/>
    <w:basedOn w:val="affd"/>
    <w:next w:val="affd"/>
    <w:qFormat/>
    <w:pPr>
      <w:ind w:firstLineChars="0" w:firstLine="0"/>
    </w:pPr>
  </w:style>
  <w:style w:type="paragraph" w:customStyle="1" w:styleId="af4">
    <w:name w:val="正文图标题"/>
    <w:next w:val="affd"/>
    <w:pPr>
      <w:numPr>
        <w:numId w:val="17"/>
      </w:numPr>
      <w:tabs>
        <w:tab w:val="left" w:pos="360"/>
      </w:tabs>
      <w:spacing w:beforeLines="50" w:before="156" w:afterLines="50" w:after="156"/>
      <w:jc w:val="center"/>
    </w:pPr>
    <w:rPr>
      <w:rFonts w:ascii="黑体" w:eastAsia="黑体"/>
      <w:sz w:val="21"/>
    </w:rPr>
  </w:style>
  <w:style w:type="paragraph" w:customStyle="1" w:styleId="affffff7">
    <w:name w:val="终结线"/>
    <w:basedOn w:val="aff2"/>
    <w:pPr>
      <w:framePr w:hSpace="181" w:vSpace="181" w:wrap="around" w:vAnchor="text" w:hAnchor="margin" w:xAlign="center" w:y="285"/>
    </w:pPr>
  </w:style>
  <w:style w:type="paragraph" w:customStyle="1" w:styleId="affffff8">
    <w:name w:val="其他发布日期"/>
    <w:basedOn w:val="affff5"/>
    <w:pPr>
      <w:framePr w:wrap="around" w:vAnchor="page" w:hAnchor="text" w:x="1419"/>
    </w:pPr>
  </w:style>
  <w:style w:type="paragraph" w:customStyle="1" w:styleId="affffff9">
    <w:name w:val="其他实施日期"/>
    <w:basedOn w:val="afffffd"/>
    <w:pPr>
      <w:framePr w:wrap="around"/>
    </w:pPr>
  </w:style>
  <w:style w:type="paragraph" w:customStyle="1" w:styleId="22">
    <w:name w:val="封面标准名称2"/>
    <w:basedOn w:val="affff7"/>
    <w:pPr>
      <w:framePr w:wrap="around" w:y="4469"/>
      <w:spacing w:beforeLines="630" w:before="630"/>
    </w:pPr>
  </w:style>
  <w:style w:type="paragraph" w:customStyle="1" w:styleId="23">
    <w:name w:val="封面标准英文名称2"/>
    <w:basedOn w:val="affff8"/>
    <w:pPr>
      <w:framePr w:wrap="around" w:y="4469"/>
    </w:pPr>
  </w:style>
  <w:style w:type="paragraph" w:customStyle="1" w:styleId="24">
    <w:name w:val="封面一致性程度标识2"/>
    <w:basedOn w:val="affff9"/>
    <w:pPr>
      <w:framePr w:wrap="around" w:y="4469"/>
    </w:pPr>
  </w:style>
  <w:style w:type="paragraph" w:customStyle="1" w:styleId="25">
    <w:name w:val="封面标准文稿类别2"/>
    <w:basedOn w:val="affffa"/>
    <w:pPr>
      <w:framePr w:wrap="around" w:y="4469"/>
    </w:pPr>
  </w:style>
  <w:style w:type="paragraph" w:customStyle="1" w:styleId="26">
    <w:name w:val="封面标准文稿编辑信息2"/>
    <w:basedOn w:val="affffb"/>
    <w:pPr>
      <w:framePr w:wrap="around" w:y="4469"/>
    </w:pPr>
  </w:style>
  <w:style w:type="character" w:customStyle="1" w:styleId="1Char">
    <w:name w:val="标题 1 Char"/>
    <w:link w:val="1"/>
    <w:rPr>
      <w:rFonts w:ascii="宋体" w:hAnsi="宋体"/>
      <w:b/>
      <w:kern w:val="44"/>
      <w:sz w:val="24"/>
      <w:szCs w:val="24"/>
    </w:rPr>
  </w:style>
  <w:style w:type="character" w:customStyle="1" w:styleId="3Char">
    <w:name w:val="标题 3 Char"/>
    <w:link w:val="3"/>
    <w:rPr>
      <w:b/>
      <w:bCs/>
      <w:kern w:val="2"/>
      <w:sz w:val="32"/>
      <w:szCs w:val="32"/>
    </w:rPr>
  </w:style>
  <w:style w:type="character" w:customStyle="1" w:styleId="apple-converted-space">
    <w:name w:val="apple-converted-space"/>
  </w:style>
  <w:style w:type="character" w:customStyle="1" w:styleId="Char">
    <w:name w:val="批注框文本 Char"/>
    <w:link w:val="aff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pPr>
      <w:widowControl w:val="0"/>
      <w:jc w:val="both"/>
    </w:p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ngyue\Desktop\&#26032;&#24314;&#25991;&#20214;&#22841;\&#20445;&#25345;&#24615;&#32933;&#26009;&#34892;&#19994;&#26631;&#20934;(2017-8-2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9"/>
    <customShpInfo spid="_x0000_s1036"/>
    <customShpInfo spid="_x0000_s1038"/>
    <customShpInfo spid="_x0000_s1037"/>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保持性肥料行业标准(2017-8-21)</Template>
  <TotalTime>0</TotalTime>
  <Pages>16</Pages>
  <Words>1697</Words>
  <Characters>9678</Characters>
  <Application>Microsoft Office Word</Application>
  <DocSecurity>0</DocSecurity>
  <Lines>80</Lines>
  <Paragraphs>22</Paragraphs>
  <ScaleCrop>false</ScaleCrop>
  <LinksUpToDate>false</LinksUpToDate>
  <CharactersWithSpaces>11353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dcterms:created xsi:type="dcterms:W3CDTF">2017-08-23T00:58:00Z</dcterms:created>
  <dcterms:modified xsi:type="dcterms:W3CDTF">2017-08-28T04:54:00Z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